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1"/>
        <w:ind w:hanging="284"/>
        <w:jc w:val="center"/>
        <w:rPr>
          <w:b/>
          <w:sz w:val="22"/>
          <w:szCs w:val="24"/>
        </w:rPr>
      </w:pPr>
      <w:r>
        <w:rPr>
          <w:b/>
          <w:sz w:val="22"/>
          <w:szCs w:val="24"/>
        </w:rPr>
      </w:r>
    </w:p>
    <w:p>
      <w:pPr>
        <w:pStyle w:val="Header"/>
        <w:tabs>
          <w:tab w:val="clear" w:pos="4536"/>
          <w:tab w:val="clear" w:pos="9072"/>
          <w:tab w:val="right" w:pos="9026" w:leader="none"/>
        </w:tabs>
        <w:jc w:val="right"/>
        <w:rPr>
          <w:rFonts w:ascii="Marianne" w:hAnsi="Marianne" w:eastAsia="Marianne-Bold" w:cs="Marianne"/>
          <w:b/>
          <w:bCs/>
          <w:sz w:val="26"/>
          <w:szCs w:val="26"/>
        </w:rPr>
      </w:pPr>
      <w:r>
        <w:rPr>
          <w:rFonts w:eastAsia="Marianne-Bold" w:cs="Marianne" w:ascii="Marianne" w:hAnsi="Marianne"/>
          <w:b/>
          <w:bCs/>
          <w:sz w:val="26"/>
          <w:szCs w:val="26"/>
        </w:rPr>
        <w:t>Direction régionale</w:t>
      </w:r>
    </w:p>
    <w:p>
      <w:pPr>
        <w:pStyle w:val="Header"/>
        <w:tabs>
          <w:tab w:val="clear" w:pos="4536"/>
          <w:tab w:val="clear" w:pos="9072"/>
          <w:tab w:val="right" w:pos="9026" w:leader="none"/>
        </w:tabs>
        <w:jc w:val="right"/>
        <w:rPr/>
      </w:pPr>
      <w:r>
        <w:rPr>
          <w:rFonts w:cs="Marianne" w:ascii="Marianne" w:hAnsi="Marianne"/>
          <w:bCs/>
          <w:sz w:val="26"/>
          <w:szCs w:val="26"/>
        </w:rPr>
        <w:t xml:space="preserve">de l’économie, de l’emploi,                                                                                                                               </w:t>
      </w:r>
      <w:r>
        <w:rPr>
          <w:rFonts w:eastAsia="Marianne-Bold" w:cs="Marianne" w:ascii="Marianne" w:hAnsi="Marianne"/>
          <w:bCs/>
          <w:spacing w:val="20"/>
          <w:sz w:val="26"/>
          <w:szCs w:val="26"/>
          <w:lang w:val="fr-FR" w:eastAsia="fr-FR"/>
        </w:rPr>
        <w:t>du travail et des solidarités</w:t>
      </w:r>
    </w:p>
    <w:p>
      <w:pPr>
        <w:pStyle w:val="Standard1"/>
        <w:ind w:hanging="284"/>
        <w:jc w:val="center"/>
        <w:rPr>
          <w:b/>
          <w:sz w:val="22"/>
          <w:szCs w:val="24"/>
        </w:rPr>
      </w:pPr>
      <w:r>
        <w:rPr>
          <w:b/>
          <w:sz w:val="22"/>
          <w:szCs w:val="24"/>
        </w:rPr>
      </w:r>
    </w:p>
    <w:p>
      <w:pPr>
        <w:pStyle w:val="Standard1"/>
        <w:ind w:hanging="284"/>
        <w:jc w:val="center"/>
        <w:rPr>
          <w:b/>
          <w:sz w:val="22"/>
          <w:szCs w:val="24"/>
        </w:rPr>
      </w:pPr>
      <w:r>
        <w:rPr>
          <w:b/>
          <w:sz w:val="22"/>
          <w:szCs w:val="24"/>
        </w:rPr>
      </w:r>
    </w:p>
    <w:p>
      <w:pPr>
        <w:pStyle w:val="Standard1"/>
        <w:ind w:hanging="284"/>
        <w:jc w:val="center"/>
        <w:rPr>
          <w:b/>
          <w:sz w:val="22"/>
          <w:szCs w:val="24"/>
        </w:rPr>
      </w:pPr>
      <w:r>
        <w:rPr/>
      </w:r>
    </w:p>
    <w:p>
      <w:pPr>
        <w:pStyle w:val="Standard1"/>
        <w:pBdr>
          <w:top w:val="single" w:sz="2" w:space="1" w:color="000000"/>
          <w:left w:val="single" w:sz="2" w:space="1" w:color="000000"/>
          <w:bottom w:val="single" w:sz="2" w:space="1" w:color="000000"/>
          <w:right w:val="single" w:sz="2" w:space="1" w:color="000000"/>
        </w:pBdr>
        <w:jc w:val="center"/>
        <w:rPr>
          <w:rFonts w:ascii="Marianne" w:hAnsi="Marianne"/>
          <w:b/>
          <w:bCs/>
          <w:sz w:val="24"/>
          <w:szCs w:val="24"/>
        </w:rPr>
      </w:pPr>
      <w:r>
        <w:rPr>
          <w:rFonts w:ascii="Marianne" w:hAnsi="Marianne"/>
          <w:b/>
          <w:bCs/>
          <w:sz w:val="24"/>
          <w:szCs w:val="24"/>
        </w:rPr>
        <w:t xml:space="preserve">Formulaire de demande d’habilitation à figurer sur les listes régionales des établissements et formations habilités </w:t>
      </w:r>
    </w:p>
    <w:p>
      <w:pPr>
        <w:pStyle w:val="Standard1"/>
        <w:pBdr>
          <w:top w:val="single" w:sz="2" w:space="1" w:color="000000"/>
          <w:left w:val="single" w:sz="2" w:space="1" w:color="000000"/>
          <w:bottom w:val="single" w:sz="2" w:space="1" w:color="000000"/>
          <w:right w:val="single" w:sz="2" w:space="1" w:color="000000"/>
        </w:pBdr>
        <w:jc w:val="center"/>
        <w:rPr>
          <w:rFonts w:ascii="Marianne" w:hAnsi="Marianne"/>
          <w:b/>
          <w:bCs/>
          <w:sz w:val="24"/>
          <w:szCs w:val="24"/>
        </w:rPr>
      </w:pPr>
      <w:r>
        <w:rPr>
          <w:rFonts w:ascii="Marianne" w:hAnsi="Marianne"/>
          <w:b/>
          <w:bCs/>
          <w:sz w:val="24"/>
          <w:szCs w:val="24"/>
        </w:rPr>
        <w:t>à percevoir le solde de la taxe d’apprentissage</w:t>
      </w:r>
    </w:p>
    <w:p>
      <w:pPr>
        <w:pStyle w:val="Standard1"/>
        <w:ind w:hanging="284"/>
        <w:jc w:val="center"/>
        <w:rPr>
          <w:b/>
          <w:sz w:val="22"/>
          <w:szCs w:val="24"/>
        </w:rPr>
      </w:pPr>
      <w:r>
        <w:rPr>
          <w:b/>
          <w:sz w:val="22"/>
          <w:szCs w:val="24"/>
        </w:rPr>
      </w:r>
    </w:p>
    <w:p>
      <w:pPr>
        <w:pStyle w:val="Standard1"/>
        <w:rPr>
          <w:b/>
          <w:sz w:val="24"/>
          <w:szCs w:val="24"/>
        </w:rPr>
      </w:pPr>
      <w:r>
        <w:rPr>
          <w:b/>
          <w:sz w:val="24"/>
          <w:szCs w:val="24"/>
        </w:rPr>
        <w:t>Les établissements éligibles répondent et justifient les conditions cumulatives suivantes, veuillez lire et vérifier avant de remplir le formulaire :</w:t>
      </w:r>
    </w:p>
    <w:p>
      <w:pPr>
        <w:pStyle w:val="Heading4"/>
        <w:jc w:val="both"/>
        <w:rPr>
          <w:rFonts w:ascii="Arial" w:hAnsi="Arial"/>
        </w:rPr>
      </w:pPr>
      <w:r>
        <w:rPr>
          <w:rFonts w:ascii="Arial" w:hAnsi="Arial"/>
        </w:rPr>
        <w:t>Conditions relatives aux formations dispensées (article L. 6241-4 du code du travail)</w:t>
      </w:r>
    </w:p>
    <w:p>
      <w:pPr>
        <w:pStyle w:val="Textbody1"/>
        <w:jc w:val="both"/>
        <w:rPr>
          <w:lang w:bidi="hi-IN"/>
        </w:rPr>
      </w:pPr>
      <w:r>
        <w:rPr>
          <w:lang w:bidi="hi-IN"/>
        </w:rPr>
        <w:t xml:space="preserve">Les employeurs peuvent imputer sur le solde de la taxe d'apprentissage, à hauteur du montant mentionné au II de l'article </w:t>
      </w:r>
      <w:hyperlink r:id="rId2" w:tgtFrame="Code du travail - art. L6241-2 (V)">
        <w:r>
          <w:rPr>
            <w:rStyle w:val="Hyperlink"/>
            <w:lang w:bidi="hi-IN"/>
          </w:rPr>
          <w:t>L. 6241-2</w:t>
        </w:r>
      </w:hyperlink>
      <w:r>
        <w:rPr>
          <w:lang w:bidi="hi-IN"/>
        </w:rPr>
        <w:t xml:space="preserve"> : </w:t>
      </w:r>
    </w:p>
    <w:p>
      <w:pPr>
        <w:pStyle w:val="Textbody1"/>
        <w:jc w:val="both"/>
        <w:rPr>
          <w:sz w:val="14"/>
          <w:szCs w:val="14"/>
          <w:lang w:bidi="hi-IN"/>
        </w:rPr>
      </w:pPr>
      <w:r>
        <w:rPr>
          <w:lang w:bidi="hi-IN"/>
        </w:rPr>
        <w:t xml:space="preserve">1° Les dépenses réellement exposées permettant de financer le développement des formations </w:t>
      </w:r>
      <w:r>
        <w:rPr>
          <w:b/>
          <w:bCs/>
          <w:lang w:bidi="hi-IN"/>
        </w:rPr>
        <w:t>initiales technologiques et professionnelles, hors apprentissage, et l'insertion professionnelle</w:t>
      </w:r>
      <w:r>
        <w:rPr>
          <w:lang w:bidi="hi-IN"/>
        </w:rPr>
        <w:t xml:space="preserve">, dont les frais de premier équipement, de renouvellement de matériel existant et d'équipement complémentaire, dans l'une des catégories d'établissements habilités mentionnées à l'article </w:t>
      </w:r>
      <w:hyperlink r:id="rId3" w:tgtFrame="Code du travail - art. L6241-5 (V)">
        <w:r>
          <w:rPr>
            <w:rStyle w:val="Hyperlink"/>
            <w:lang w:bidi="hi-IN"/>
          </w:rPr>
          <w:t>L. 6241-5</w:t>
        </w:r>
      </w:hyperlink>
      <w:r>
        <w:rPr>
          <w:lang w:bidi="hi-IN"/>
        </w:rPr>
        <w:t>.</w:t>
      </w:r>
    </w:p>
    <w:p>
      <w:pPr>
        <w:pStyle w:val="Textbody1"/>
        <w:jc w:val="both"/>
        <w:rPr>
          <w:sz w:val="14"/>
          <w:szCs w:val="14"/>
          <w:lang w:bidi="hi-IN"/>
        </w:rPr>
      </w:pPr>
      <w:r>
        <w:rPr>
          <w:lang w:bidi="hi-IN"/>
        </w:rPr>
        <w:t xml:space="preserve">Les formations technologiques et professionnelles mentionnées à l'alinéa précédent sont celles qui, dispensées dans le cadre de la formation initiale, remplissent les conditions suivantes : </w:t>
      </w:r>
    </w:p>
    <w:p>
      <w:pPr>
        <w:pStyle w:val="Textbody1"/>
        <w:jc w:val="both"/>
        <w:rPr>
          <w:sz w:val="14"/>
          <w:szCs w:val="14"/>
          <w:lang w:bidi="hi-IN"/>
        </w:rPr>
      </w:pPr>
      <w:r>
        <w:rPr>
          <w:lang w:bidi="hi-IN"/>
        </w:rPr>
        <w:t xml:space="preserve">a) Elles </w:t>
      </w:r>
      <w:r>
        <w:rPr>
          <w:b/>
          <w:bCs/>
          <w:lang w:bidi="hi-IN"/>
        </w:rPr>
        <w:t>conduisent à des diplômes ou titres enregistrés au répertoire national des certifications professionnelles</w:t>
      </w:r>
      <w:r>
        <w:rPr>
          <w:lang w:bidi="hi-IN"/>
        </w:rPr>
        <w:t xml:space="preserve"> et classés dans la nomenclature interministérielle des niveaux de formation ;</w:t>
      </w:r>
    </w:p>
    <w:p>
      <w:pPr>
        <w:pStyle w:val="Textbody1"/>
        <w:jc w:val="both"/>
        <w:rPr>
          <w:sz w:val="14"/>
          <w:szCs w:val="14"/>
          <w:lang w:bidi="hi-IN"/>
        </w:rPr>
      </w:pPr>
      <w:r>
        <w:rPr>
          <w:lang w:bidi="hi-IN"/>
        </w:rPr>
        <w:t xml:space="preserve">b) Elles </w:t>
      </w:r>
      <w:r>
        <w:rPr>
          <w:b/>
          <w:bCs/>
          <w:lang w:bidi="hi-IN"/>
        </w:rPr>
        <w:t>sont dispensées à temps complet et de manière continue</w:t>
      </w:r>
      <w:r>
        <w:rPr>
          <w:lang w:bidi="hi-IN"/>
        </w:rPr>
        <w:t xml:space="preserve">, ou selon un rythme approprié au sens des </w:t>
      </w:r>
      <w:hyperlink r:id="rId4" w:tgtFrame="Code rural et de la pêche maritime - art. L813-9 (V)">
        <w:r>
          <w:rPr>
            <w:rStyle w:val="Hyperlink"/>
            <w:lang w:bidi="hi-IN"/>
          </w:rPr>
          <w:t>dispositions de l'article L. 813-9 du code rural et de la pêche maritime</w:t>
        </w:r>
      </w:hyperlink>
      <w:r>
        <w:rPr>
          <w:lang w:bidi="hi-IN"/>
        </w:rPr>
        <w:t xml:space="preserve"> ; </w:t>
      </w:r>
    </w:p>
    <w:p>
      <w:pPr>
        <w:pStyle w:val="Textbody1"/>
        <w:jc w:val="both"/>
        <w:rPr>
          <w:sz w:val="14"/>
          <w:szCs w:val="14"/>
          <w:lang w:bidi="hi-IN"/>
        </w:rPr>
      </w:pPr>
      <w:r>
        <w:rPr>
          <w:sz w:val="14"/>
          <w:szCs w:val="14"/>
          <w:lang w:bidi="hi-IN"/>
        </w:rPr>
      </w:r>
    </w:p>
    <w:p>
      <w:pPr>
        <w:pStyle w:val="Textbody1"/>
        <w:jc w:val="both"/>
        <w:rPr>
          <w:lang w:bidi="hi-IN"/>
        </w:rPr>
      </w:pPr>
      <w:r>
        <w:rPr>
          <w:lang w:bidi="hi-IN"/>
        </w:rPr>
        <w:t>2° Les subventions versées à un centre de formation d'apprentis sous forme d'équipements et de matériels conformes aux besoins des formations dispensées.</w:t>
      </w:r>
    </w:p>
    <w:p>
      <w:pPr>
        <w:pStyle w:val="Textbody1"/>
        <w:jc w:val="both"/>
        <w:rPr/>
      </w:pPr>
      <w:r>
        <w:rPr/>
        <w:t>Pour ce dernier point, il n’y a pas besoin de remplir ce formulaire, cela se fait sans intermédiation.</w:t>
      </w:r>
    </w:p>
    <w:p>
      <w:pPr>
        <w:pStyle w:val="Standard"/>
        <w:tabs>
          <w:tab w:val="clear" w:pos="708"/>
          <w:tab w:val="left" w:pos="10204" w:leader="none"/>
        </w:tabs>
        <w:jc w:val="both"/>
        <w:textAlignment w:val="auto"/>
        <w:rPr>
          <w:rFonts w:ascii="Arial" w:hAnsi="Arial" w:eastAsia="Times New Roman" w:cs="Arial"/>
          <w:kern w:val="0"/>
          <w:sz w:val="20"/>
          <w:szCs w:val="20"/>
          <w:lang w:bidi="ar-SA"/>
        </w:rPr>
      </w:pPr>
      <w:r>
        <w:rPr>
          <w:rFonts w:eastAsia="Times New Roman" w:cs="Arial" w:ascii="Arial" w:hAnsi="Arial"/>
          <w:kern w:val="0"/>
          <w:sz w:val="20"/>
          <w:szCs w:val="20"/>
          <w:lang w:bidi="ar-SA"/>
        </w:rPr>
      </w:r>
    </w:p>
    <w:p>
      <w:pPr>
        <w:pStyle w:val="Heading4"/>
        <w:jc w:val="both"/>
        <w:rPr>
          <w:rFonts w:ascii="Arial" w:hAnsi="Arial"/>
        </w:rPr>
      </w:pPr>
      <w:r>
        <w:rPr>
          <w:rFonts w:ascii="Arial" w:hAnsi="Arial"/>
        </w:rPr>
        <w:t>Conditions relatives aux établissements (article L. 6241-5 du code du travail)</w:t>
      </w:r>
    </w:p>
    <w:p>
      <w:pPr>
        <w:pStyle w:val="Textbody1"/>
        <w:jc w:val="both"/>
        <w:rPr/>
      </w:pPr>
      <w:r>
        <w:rPr/>
        <w:t>Sont habilités à bénéficier du solde de la taxe d'apprentissage :</w:t>
      </w:r>
    </w:p>
    <w:p>
      <w:pPr>
        <w:pStyle w:val="Textbody1"/>
        <w:numPr>
          <w:ilvl w:val="0"/>
          <w:numId w:val="16"/>
        </w:numPr>
        <w:spacing w:lineRule="atLeast" w:line="320" w:before="0" w:after="0"/>
        <w:jc w:val="both"/>
        <w:rPr/>
      </w:pPr>
      <w:r>
        <w:rPr>
          <w:rFonts w:eastAsia="MS Gothic" w:cs="Segoe UI Symbol" w:ascii="Segoe UI Symbol" w:hAnsi="Segoe UI Symbol"/>
          <w:kern w:val="0"/>
        </w:rPr>
        <w:t xml:space="preserve">☐ </w:t>
      </w:r>
      <w:r>
        <w:rPr/>
        <w:t>les établissements publics d'enseignement du second degré ;</w:t>
      </w:r>
    </w:p>
    <w:p>
      <w:pPr>
        <w:pStyle w:val="Textbody1"/>
        <w:numPr>
          <w:ilvl w:val="0"/>
          <w:numId w:val="17"/>
        </w:numPr>
        <w:spacing w:lineRule="atLeast" w:line="320" w:before="0" w:after="0"/>
        <w:jc w:val="both"/>
        <w:rPr/>
      </w:pPr>
      <w:r>
        <w:rPr/>
        <w:t>les établissements d'enseignement privé du second degré gérés par des organismes à but non lucratif et qui remplissent l'une des conditions suivantes :</w:t>
      </w:r>
    </w:p>
    <w:p>
      <w:pPr>
        <w:pStyle w:val="Standard"/>
        <w:suppressAutoHyphens w:val="false"/>
        <w:spacing w:lineRule="atLeast" w:line="320"/>
        <w:ind w:left="426"/>
        <w:jc w:val="both"/>
        <w:textAlignment w:val="auto"/>
        <w:rPr/>
      </w:pPr>
      <w:r>
        <w:rPr>
          <w:rFonts w:eastAsia="MS Gothic" w:cs="Segoe UI Symbol" w:ascii="Segoe UI Symbol" w:hAnsi="Segoe UI Symbol"/>
          <w:kern w:val="0"/>
          <w:sz w:val="20"/>
          <w:szCs w:val="20"/>
          <w:lang w:bidi="ar-SA"/>
        </w:rPr>
        <w:t>☐</w:t>
      </w:r>
      <w:r>
        <w:rPr>
          <w:rFonts w:eastAsia="Times New Roman" w:cs="Arial" w:ascii="Arial" w:hAnsi="Arial"/>
          <w:kern w:val="0"/>
          <w:sz w:val="20"/>
          <w:szCs w:val="20"/>
          <w:lang w:eastAsia="fr-FR" w:bidi="ar-SA"/>
        </w:rPr>
        <w:t xml:space="preserve"> </w:t>
      </w:r>
      <w:r>
        <w:rPr>
          <w:rFonts w:eastAsia="Times New Roman" w:cs="Arial" w:ascii="Arial" w:hAnsi="Arial"/>
          <w:kern w:val="0"/>
          <w:sz w:val="20"/>
          <w:szCs w:val="20"/>
          <w:lang w:eastAsia="fr-FR" w:bidi="ar-SA"/>
        </w:rPr>
        <w:t xml:space="preserve">a) Être lié à l'Etat par l'un des contrats d'association mentionnés à l'article </w:t>
      </w:r>
      <w:hyperlink r:id="rId5">
        <w:r>
          <w:rPr>
            <w:rStyle w:val="ListLabel155"/>
            <w:rFonts w:eastAsia="NSimSun" w:cs="Arial" w:ascii="Arial" w:hAnsi="Arial"/>
            <w:color w:val="0000FF"/>
            <w:kern w:val="0"/>
            <w:sz w:val="20"/>
            <w:szCs w:val="20"/>
            <w:u w:val="single"/>
            <w:lang w:eastAsia="fr-FR" w:bidi="ar-SA"/>
          </w:rPr>
          <w:t xml:space="preserve">L. 442-5 du code de l'éducation </w:t>
        </w:r>
      </w:hyperlink>
      <w:r>
        <w:rPr>
          <w:rFonts w:eastAsia="Times New Roman" w:cs="Arial" w:ascii="Arial" w:hAnsi="Arial"/>
          <w:kern w:val="0"/>
          <w:sz w:val="20"/>
          <w:szCs w:val="20"/>
          <w:lang w:eastAsia="fr-FR" w:bidi="ar-SA"/>
        </w:rPr>
        <w:t xml:space="preserve">ou à l'article </w:t>
      </w:r>
      <w:hyperlink r:id="rId6">
        <w:r>
          <w:rPr>
            <w:rStyle w:val="ListLabel155"/>
            <w:rFonts w:eastAsia="NSimSun" w:cs="Arial" w:ascii="Arial" w:hAnsi="Arial"/>
            <w:color w:val="0000FF"/>
            <w:kern w:val="0"/>
            <w:sz w:val="20"/>
            <w:szCs w:val="20"/>
            <w:u w:val="single"/>
            <w:lang w:eastAsia="fr-FR" w:bidi="ar-SA"/>
          </w:rPr>
          <w:t xml:space="preserve">L. 813-1 du code rural et de la pêche maritime </w:t>
        </w:r>
      </w:hyperlink>
      <w:r>
        <w:rPr>
          <w:rFonts w:eastAsia="Times New Roman" w:cs="Arial" w:ascii="Arial" w:hAnsi="Arial"/>
          <w:kern w:val="0"/>
          <w:sz w:val="20"/>
          <w:szCs w:val="20"/>
          <w:lang w:eastAsia="fr-FR" w:bidi="ar-SA"/>
        </w:rPr>
        <w:t>;</w:t>
      </w:r>
    </w:p>
    <w:p>
      <w:pPr>
        <w:pStyle w:val="Standard"/>
        <w:suppressAutoHyphens w:val="false"/>
        <w:spacing w:lineRule="atLeast" w:line="320"/>
        <w:ind w:left="426"/>
        <w:jc w:val="both"/>
        <w:textAlignment w:val="auto"/>
        <w:rPr/>
      </w:pPr>
      <w:r>
        <w:rPr>
          <w:rFonts w:eastAsia="MS Gothic" w:cs="Segoe UI Symbol" w:ascii="Segoe UI Symbol" w:hAnsi="Segoe UI Symbol"/>
          <w:kern w:val="0"/>
          <w:sz w:val="20"/>
          <w:szCs w:val="20"/>
          <w:lang w:bidi="ar-SA"/>
        </w:rPr>
        <w:t>☐</w:t>
      </w:r>
      <w:r>
        <w:rPr>
          <w:rFonts w:eastAsia="Times New Roman" w:cs="Arial" w:ascii="Arial" w:hAnsi="Arial"/>
          <w:kern w:val="0"/>
          <w:sz w:val="20"/>
          <w:szCs w:val="20"/>
          <w:lang w:eastAsia="fr-FR" w:bidi="ar-SA"/>
        </w:rPr>
        <w:t xml:space="preserve"> </w:t>
      </w:r>
      <w:r>
        <w:rPr>
          <w:rFonts w:eastAsia="Times New Roman" w:cs="Arial" w:ascii="Arial" w:hAnsi="Arial"/>
          <w:kern w:val="0"/>
          <w:sz w:val="20"/>
          <w:szCs w:val="20"/>
          <w:lang w:eastAsia="fr-FR" w:bidi="ar-SA"/>
        </w:rPr>
        <w:t xml:space="preserve">b) Être habilité à recevoir des boursiers nationaux conformément aux procédures prévues à l'article </w:t>
      </w:r>
      <w:hyperlink r:id="rId7">
        <w:r>
          <w:rPr>
            <w:rStyle w:val="ListLabel155"/>
            <w:rFonts w:eastAsia="NSimSun" w:cs="Arial" w:ascii="Arial" w:hAnsi="Arial"/>
            <w:color w:val="0000FF"/>
            <w:kern w:val="0"/>
            <w:sz w:val="20"/>
            <w:szCs w:val="20"/>
            <w:u w:val="single"/>
            <w:lang w:eastAsia="fr-FR" w:bidi="ar-SA"/>
          </w:rPr>
          <w:t xml:space="preserve">L. 531-4 du code de l'éducation </w:t>
        </w:r>
      </w:hyperlink>
      <w:r>
        <w:rPr>
          <w:rFonts w:eastAsia="Times New Roman" w:cs="Arial" w:ascii="Arial" w:hAnsi="Arial"/>
          <w:kern w:val="0"/>
          <w:sz w:val="20"/>
          <w:szCs w:val="20"/>
          <w:lang w:eastAsia="fr-FR" w:bidi="ar-SA"/>
        </w:rPr>
        <w:t>;</w:t>
      </w:r>
    </w:p>
    <w:p>
      <w:pPr>
        <w:pStyle w:val="Standard"/>
        <w:suppressAutoHyphens w:val="false"/>
        <w:spacing w:lineRule="atLeast" w:line="320"/>
        <w:ind w:left="426"/>
        <w:jc w:val="both"/>
        <w:textAlignment w:val="auto"/>
        <w:rPr/>
      </w:pPr>
      <w:r>
        <w:rPr>
          <w:rFonts w:eastAsia="MS Gothic" w:cs="Segoe UI Symbol" w:ascii="Segoe UI Symbol" w:hAnsi="Segoe UI Symbol"/>
          <w:kern w:val="0"/>
          <w:sz w:val="20"/>
          <w:szCs w:val="20"/>
          <w:lang w:bidi="ar-SA"/>
        </w:rPr>
        <w:t>☐</w:t>
      </w:r>
      <w:r>
        <w:rPr>
          <w:rFonts w:eastAsia="Times New Roman" w:cs="Arial" w:ascii="Arial" w:hAnsi="Arial"/>
          <w:kern w:val="0"/>
          <w:sz w:val="20"/>
          <w:szCs w:val="20"/>
          <w:lang w:eastAsia="fr-FR" w:bidi="ar-SA"/>
        </w:rPr>
        <w:t xml:space="preserve"> </w:t>
      </w:r>
      <w:r>
        <w:rPr>
          <w:rFonts w:eastAsia="Times New Roman" w:cs="Arial" w:ascii="Arial" w:hAnsi="Arial"/>
          <w:kern w:val="0"/>
          <w:sz w:val="20"/>
          <w:szCs w:val="20"/>
          <w:lang w:eastAsia="fr-FR" w:bidi="ar-SA"/>
        </w:rPr>
        <w:t xml:space="preserve">c) Être reconnu conformément à la procédure prévue à l'article </w:t>
      </w:r>
      <w:hyperlink r:id="rId8">
        <w:r>
          <w:rPr>
            <w:rStyle w:val="ListLabel155"/>
            <w:rFonts w:eastAsia="NSimSun" w:cs="Arial" w:ascii="Arial" w:hAnsi="Arial"/>
            <w:color w:val="0000FF"/>
            <w:kern w:val="0"/>
            <w:sz w:val="20"/>
            <w:szCs w:val="20"/>
            <w:u w:val="single"/>
            <w:lang w:eastAsia="fr-FR" w:bidi="ar-SA"/>
          </w:rPr>
          <w:t xml:space="preserve">L. 443-2 </w:t>
        </w:r>
      </w:hyperlink>
      <w:r>
        <w:rPr>
          <w:rFonts w:eastAsia="Times New Roman" w:cs="Arial" w:ascii="Arial" w:hAnsi="Arial"/>
          <w:kern w:val="0"/>
          <w:sz w:val="20"/>
          <w:szCs w:val="20"/>
          <w:lang w:eastAsia="fr-FR" w:bidi="ar-SA"/>
        </w:rPr>
        <w:t>du même code.</w:t>
      </w:r>
    </w:p>
    <w:p>
      <w:pPr>
        <w:pStyle w:val="Textbody1"/>
        <w:numPr>
          <w:ilvl w:val="0"/>
          <w:numId w:val="18"/>
        </w:numPr>
        <w:spacing w:lineRule="atLeast" w:line="320" w:before="0" w:after="0"/>
        <w:jc w:val="both"/>
        <w:rPr/>
      </w:pPr>
      <w:r>
        <w:rPr/>
        <w:t xml:space="preserve"> </w:t>
      </w:r>
      <w:r>
        <w:rPr>
          <w:rFonts w:eastAsia="MS Gothic" w:cs="Segoe UI Symbol" w:ascii="Segoe UI Symbol" w:hAnsi="Segoe UI Symbol"/>
          <w:kern w:val="0"/>
        </w:rPr>
        <w:t xml:space="preserve">☐ </w:t>
      </w:r>
      <w:r>
        <w:rPr/>
        <w:t>les établissements publics d'enseignement supérieur ou leurs groupements agissant pour leur compte ;</w:t>
      </w:r>
    </w:p>
    <w:p>
      <w:pPr>
        <w:pStyle w:val="Textbody1"/>
        <w:numPr>
          <w:ilvl w:val="0"/>
          <w:numId w:val="19"/>
        </w:numPr>
        <w:spacing w:lineRule="atLeast" w:line="320" w:before="0" w:after="0"/>
        <w:jc w:val="both"/>
        <w:rPr/>
      </w:pPr>
      <w:r>
        <w:rPr>
          <w:rFonts w:eastAsia="MS Gothic" w:cs="Segoe UI Symbol" w:ascii="Segoe UI Symbol" w:hAnsi="Segoe UI Symbol"/>
          <w:kern w:val="0"/>
        </w:rPr>
        <w:t xml:space="preserve">☐ </w:t>
      </w:r>
      <w:r>
        <w:rPr/>
        <w:t>les établissements gérés par une chambre consulaire et les établissements d'enseignement supérieur consulaire mentionnés à l'article L. 711-17 du code de commerce ;</w:t>
      </w:r>
    </w:p>
    <w:p>
      <w:pPr>
        <w:pStyle w:val="Textbody1"/>
        <w:numPr>
          <w:ilvl w:val="0"/>
          <w:numId w:val="20"/>
        </w:numPr>
        <w:spacing w:lineRule="atLeast" w:line="320" w:before="0" w:after="0"/>
        <w:jc w:val="both"/>
        <w:rPr/>
      </w:pPr>
      <w:r>
        <w:rPr>
          <w:rFonts w:eastAsia="MS Gothic" w:cs="Segoe UI Symbol" w:ascii="Segoe UI Symbol" w:hAnsi="Segoe UI Symbol"/>
          <w:kern w:val="0"/>
        </w:rPr>
        <w:t xml:space="preserve">☐ </w:t>
      </w:r>
      <w:r>
        <w:rPr/>
        <w:t>les établissements privés relevant de l'enseignement supérieur gérés par des organismes à but non lucratif ou leurs groupements agissant pour leur compte ;</w:t>
      </w:r>
    </w:p>
    <w:p>
      <w:pPr>
        <w:pStyle w:val="Textbody1"/>
        <w:numPr>
          <w:ilvl w:val="0"/>
          <w:numId w:val="21"/>
        </w:numPr>
        <w:spacing w:lineRule="atLeast" w:line="320" w:before="0" w:after="0"/>
        <w:jc w:val="both"/>
        <w:rPr/>
      </w:pPr>
      <w:r>
        <w:rPr>
          <w:rFonts w:eastAsia="MS Gothic" w:cs="Segoe UI Symbol" w:ascii="Segoe UI Symbol" w:hAnsi="Segoe UI Symbol"/>
          <w:kern w:val="0"/>
        </w:rPr>
        <w:t xml:space="preserve">☐ </w:t>
      </w:r>
      <w:r>
        <w:rPr/>
        <w:t>les établissements publics ou privés dispensant des formations conduisant aux diplômes professionnels délivrés par les ministères chargés de la santé, des affaires sociales, de la jeunesse et des sports ;</w:t>
      </w:r>
    </w:p>
    <w:p>
      <w:pPr>
        <w:pStyle w:val="Textbody1"/>
        <w:numPr>
          <w:ilvl w:val="0"/>
          <w:numId w:val="22"/>
        </w:numPr>
        <w:spacing w:lineRule="atLeast" w:line="320"/>
        <w:jc w:val="both"/>
        <w:rPr/>
      </w:pPr>
      <w:r>
        <w:rPr/>
        <w:t xml:space="preserve">Les établissements suivants : </w:t>
      </w:r>
    </w:p>
    <w:p>
      <w:pPr>
        <w:pStyle w:val="Textbody1"/>
        <w:spacing w:lineRule="atLeast" w:line="320"/>
        <w:ind w:left="707"/>
        <w:jc w:val="both"/>
        <w:rPr/>
      </w:pPr>
      <w:r>
        <w:rPr>
          <w:rFonts w:cs="Segoe UI Symbol" w:ascii="Segoe UI Symbol" w:hAnsi="Segoe UI Symbol"/>
        </w:rPr>
        <w:t xml:space="preserve">☐ </w:t>
      </w:r>
      <w:r>
        <w:rPr/>
        <w:t>7a : Ecole de la deuxième chance, mentionnées à l'article L. 214-14 du code de l'éducation</w:t>
      </w:r>
    </w:p>
    <w:p>
      <w:pPr>
        <w:pStyle w:val="Textbody1"/>
        <w:spacing w:lineRule="atLeast" w:line="320"/>
        <w:ind w:left="707"/>
        <w:jc w:val="both"/>
        <w:rPr/>
      </w:pPr>
      <w:r>
        <w:rPr>
          <w:rFonts w:cs="Segoe UI Symbol" w:ascii="Segoe UI Symbol" w:hAnsi="Segoe UI Symbol"/>
        </w:rPr>
        <w:t xml:space="preserve">☐ </w:t>
      </w:r>
      <w:r>
        <w:rPr/>
        <w:t>7b : les centres de formation gérés et administrés par l’établissement public d’insertion de la défense, mentionnés à l'article L. 130-1 du code du service national</w:t>
      </w:r>
    </w:p>
    <w:p>
      <w:pPr>
        <w:pStyle w:val="Textbody1"/>
        <w:spacing w:lineRule="atLeast" w:line="320" w:before="0" w:after="0"/>
        <w:ind w:left="707"/>
        <w:jc w:val="both"/>
        <w:rPr/>
      </w:pPr>
      <w:r>
        <w:rPr>
          <w:rFonts w:cs="Segoe UI Symbol" w:ascii="Segoe UI Symbol" w:hAnsi="Segoe UI Symbol"/>
        </w:rPr>
        <w:t xml:space="preserve">☐ </w:t>
      </w:r>
      <w:r>
        <w:rPr/>
        <w:t>7c : Les établissements à but non lucratif concourant, par des actions de formation professionnelle, à offrir aux jeunes une nouvelle chance d’accès à la qualification ;</w:t>
      </w:r>
    </w:p>
    <w:p>
      <w:pPr>
        <w:pStyle w:val="Textbody1"/>
        <w:numPr>
          <w:ilvl w:val="0"/>
          <w:numId w:val="23"/>
        </w:numPr>
        <w:spacing w:lineRule="atLeast" w:line="320"/>
        <w:jc w:val="both"/>
        <w:rPr/>
      </w:pPr>
      <w:r>
        <w:rPr/>
        <w:t xml:space="preserve">Les établissements ou services suivants :  </w:t>
      </w:r>
    </w:p>
    <w:p>
      <w:pPr>
        <w:pStyle w:val="Textbody1"/>
        <w:spacing w:lineRule="atLeast" w:line="320"/>
        <w:ind w:left="707"/>
        <w:jc w:val="both"/>
        <w:rPr/>
      </w:pPr>
      <w:r>
        <w:rPr>
          <w:rFonts w:cs="Segoe UI Symbol" w:ascii="Segoe UI Symbol" w:hAnsi="Segoe UI Symbol"/>
        </w:rPr>
        <w:t xml:space="preserve">☐ </w:t>
      </w:r>
      <w:r>
        <w:rPr/>
        <w:t>8a : Les établissements ou services d'enseignement qui assurent, à titre principal, une éducation adaptée et un accompagnement social ou médico-social aux mineurs ou jeunes adultes handicapés ou présentant des difficultés d'adaptation, mentionnés au 2° du I de l'article L. 312-1 du code de l'action sociale et des familles,</w:t>
      </w:r>
    </w:p>
    <w:p>
      <w:pPr>
        <w:pStyle w:val="Textbody1"/>
        <w:spacing w:lineRule="atLeast" w:line="320" w:before="0" w:after="0"/>
        <w:ind w:left="707"/>
        <w:jc w:val="both"/>
        <w:rPr/>
      </w:pPr>
      <w:r>
        <w:rPr>
          <w:rFonts w:cs="Segoe UI Symbol" w:ascii="Segoe UI Symbol" w:hAnsi="Segoe UI Symbol"/>
        </w:rPr>
        <w:t xml:space="preserve">☐ </w:t>
      </w:r>
      <w:r>
        <w:rPr/>
        <w:t>8b : les établissements délivrant l'enseignement adapté prévu au premier alinéa de l'article L. 332-4 du code de l'éducation</w:t>
      </w:r>
    </w:p>
    <w:p>
      <w:pPr>
        <w:pStyle w:val="Textbody1"/>
        <w:numPr>
          <w:ilvl w:val="0"/>
          <w:numId w:val="24"/>
        </w:numPr>
        <w:spacing w:lineRule="atLeast" w:line="320" w:before="0" w:after="0"/>
        <w:jc w:val="both"/>
        <w:rPr/>
      </w:pPr>
      <w:r>
        <w:rPr>
          <w:rFonts w:eastAsia="MS Gothic" w:cs="Segoe UI Symbol" w:ascii="Segoe UI Symbol" w:hAnsi="Segoe UI Symbol"/>
          <w:kern w:val="0"/>
        </w:rPr>
        <w:t>☐</w:t>
      </w:r>
      <w:r>
        <w:rPr/>
        <w:t>l es établissements ou services mentionnés au 5° du I de l'article L. 312-1 du code de l'action sociale et des familles ;</w:t>
      </w:r>
    </w:p>
    <w:p>
      <w:pPr>
        <w:pStyle w:val="Textbody1"/>
        <w:numPr>
          <w:ilvl w:val="0"/>
          <w:numId w:val="25"/>
        </w:numPr>
        <w:spacing w:lineRule="atLeast" w:line="320" w:before="0" w:after="0"/>
        <w:jc w:val="both"/>
        <w:rPr/>
      </w:pPr>
      <w:r>
        <w:rPr>
          <w:rFonts w:eastAsia="MS Gothic" w:cs="Segoe UI Symbol" w:ascii="Segoe UI Symbol" w:hAnsi="Segoe UI Symbol"/>
          <w:kern w:val="0"/>
        </w:rPr>
        <w:t>☐</w:t>
      </w:r>
      <w:r>
        <w:rPr/>
        <w:t>l es établissements ou services à caractère expérimental accueillant des jeunes handicapés ou présentant des difficultés d'adaptation mentionnés au 12° du I du même article L. 312-1 ;</w:t>
      </w:r>
    </w:p>
    <w:p>
      <w:pPr>
        <w:pStyle w:val="Textbody1"/>
        <w:numPr>
          <w:ilvl w:val="0"/>
          <w:numId w:val="26"/>
        </w:numPr>
        <w:spacing w:lineRule="atLeast" w:line="320" w:before="0" w:after="0"/>
        <w:jc w:val="both"/>
        <w:rPr/>
      </w:pPr>
      <w:r>
        <w:rPr>
          <w:rFonts w:eastAsia="MS Gothic" w:cs="Segoe UI Symbol" w:ascii="Segoe UI Symbol" w:hAnsi="Segoe UI Symbol"/>
          <w:kern w:val="0"/>
        </w:rPr>
        <w:t xml:space="preserve">☐ </w:t>
      </w:r>
      <w:r>
        <w:rPr/>
        <w:t>les organismes participant au service public de l'orientation tout au long de la vie, dont la liste est établie par décision du président du conseil régional ;</w:t>
      </w:r>
    </w:p>
    <w:p>
      <w:pPr>
        <w:pStyle w:val="Textbody1"/>
        <w:numPr>
          <w:ilvl w:val="0"/>
          <w:numId w:val="27"/>
        </w:numPr>
        <w:spacing w:lineRule="atLeast" w:line="320" w:before="0" w:after="0"/>
        <w:jc w:val="both"/>
        <w:rPr/>
      </w:pPr>
      <w:r>
        <w:rPr>
          <w:rFonts w:eastAsia="MS Gothic" w:cs="Segoe UI Symbol" w:ascii="Segoe UI Symbol" w:hAnsi="Segoe UI Symbol"/>
          <w:kern w:val="0"/>
        </w:rPr>
        <w:t xml:space="preserve">☐ </w:t>
      </w:r>
      <w:r>
        <w:rPr/>
        <w:t>les écoles de production mentionnées à l'article L. 443-6 du code de l'éducation ;</w:t>
      </w:r>
    </w:p>
    <w:p>
      <w:pPr>
        <w:pStyle w:val="Textbody1"/>
        <w:numPr>
          <w:ilvl w:val="0"/>
          <w:numId w:val="28"/>
        </w:numPr>
        <w:spacing w:lineRule="atLeast" w:line="320"/>
        <w:jc w:val="both"/>
        <w:rPr/>
      </w:pPr>
      <w:r>
        <w:rPr>
          <w:rFonts w:eastAsia="MS Gothic" w:cs="Segoe UI Symbol" w:ascii="Segoe UI Symbol" w:hAnsi="Segoe UI Symbol"/>
          <w:kern w:val="0"/>
        </w:rPr>
        <w:t xml:space="preserve">☐ </w:t>
      </w:r>
      <w:r>
        <w:rPr/>
        <w:t>les organismes figurant sur une liste régionale établie par arrêté des ministres chargés de l'éducation nationale et de la formation professionnelle, agissant au plan national pour la promotion de la formation technologique et professionnelle initiale et des métiers. Cette liste est établie pour trois ans et les organismes y figurant justifient d'un niveau d'activité suffisant, déterminé par décret, pour prétendre continuer à y être inscrits. Le montant versé par les entreprises à ces organismes au titre du solde de la taxe d'apprentissage ne peut dépasser 30 % du montant dû.</w:t>
      </w:r>
    </w:p>
    <w:p>
      <w:pPr>
        <w:pStyle w:val="Textbody1"/>
        <w:numPr>
          <w:ilvl w:val="0"/>
          <w:numId w:val="29"/>
        </w:numPr>
        <w:spacing w:lineRule="atLeast" w:line="320"/>
        <w:rPr/>
      </w:pPr>
      <w:r>
        <w:rPr>
          <w:rFonts w:eastAsia="MS Gothic" w:cs="Segoe UI Symbol" w:ascii="Segoe UI Symbol" w:hAnsi="Segoe UI Symbol"/>
          <w:kern w:val="0"/>
        </w:rPr>
        <w:t xml:space="preserve">☐ </w:t>
      </w:r>
      <w:r>
        <w:rPr/>
        <w:t>les établissements d'enseignement technique et préparatoire militaire, mentionnés à l'</w:t>
      </w:r>
      <w:hyperlink r:id="rId9" w:tgtFrame="Code de la défense. - art. L4153-1 (V)">
        <w:r>
          <w:rPr>
            <w:rStyle w:val="Hyperlink"/>
          </w:rPr>
          <w:t>article L. 4153-1 du code de la défense</w:t>
        </w:r>
      </w:hyperlink>
    </w:p>
    <w:p>
      <w:pPr>
        <w:pStyle w:val="Textbody1"/>
        <w:jc w:val="both"/>
        <w:rPr>
          <w:rFonts w:ascii="Marianne" w:hAnsi="Marianne"/>
        </w:rPr>
      </w:pPr>
      <w:r>
        <w:rPr>
          <w:rFonts w:ascii="Marianne" w:hAnsi="Marianne"/>
        </w:rPr>
      </w:r>
    </w:p>
    <w:p>
      <w:pPr>
        <w:pStyle w:val="Standard"/>
        <w:jc w:val="both"/>
        <w:textAlignment w:val="auto"/>
        <w:rPr>
          <w:rFonts w:ascii="Marianne" w:hAnsi="Marianne" w:eastAsia="Times New Roman" w:cs="Arial"/>
          <w:b/>
          <w:color w:val="000000"/>
          <w:kern w:val="0"/>
          <w:sz w:val="20"/>
          <w:szCs w:val="20"/>
          <w:lang w:bidi="ar-SA"/>
        </w:rPr>
      </w:pPr>
      <w:r>
        <w:rPr>
          <w:rFonts w:eastAsia="Times New Roman" w:cs="Arial" w:ascii="Marianne" w:hAnsi="Marianne"/>
          <w:b/>
          <w:color w:val="000000"/>
          <w:kern w:val="0"/>
          <w:sz w:val="20"/>
          <w:szCs w:val="20"/>
          <w:u w:val="single"/>
          <w:lang w:bidi="ar-SA"/>
        </w:rPr>
        <w:t>Cochez la case principale</w:t>
      </w:r>
      <w:r>
        <w:rPr>
          <w:rFonts w:eastAsia="Times New Roman" w:cs="Arial" w:ascii="Marianne" w:hAnsi="Marianne"/>
          <w:b/>
          <w:color w:val="000000"/>
          <w:kern w:val="0"/>
          <w:sz w:val="20"/>
          <w:szCs w:val="20"/>
          <w:lang w:bidi="ar-SA"/>
        </w:rPr>
        <w:t xml:space="preserve"> et selon le cas les sous-catégories ci-dessus correspondant à votre établissement </w:t>
      </w:r>
    </w:p>
    <w:p>
      <w:pPr>
        <w:pStyle w:val="Standard"/>
        <w:jc w:val="both"/>
        <w:textAlignment w:val="auto"/>
        <w:rPr>
          <w:rFonts w:ascii="Marianne" w:hAnsi="Marianne"/>
        </w:rPr>
      </w:pPr>
      <w:r>
        <w:rPr>
          <w:rFonts w:eastAsia="Times New Roman" w:cs="Arial" w:ascii="Marianne" w:hAnsi="Marianne"/>
          <w:b/>
          <w:color w:val="000000"/>
          <w:kern w:val="0"/>
          <w:sz w:val="20"/>
          <w:szCs w:val="20"/>
          <w:u w:val="single"/>
          <w:lang w:bidi="ar-SA"/>
        </w:rPr>
        <w:t>Joignez un document justificatif</w:t>
      </w:r>
      <w:r>
        <w:rPr>
          <w:rFonts w:eastAsia="Times New Roman" w:cs="Arial" w:ascii="Marianne" w:hAnsi="Marianne"/>
          <w:b/>
          <w:color w:val="000000"/>
          <w:kern w:val="0"/>
          <w:sz w:val="20"/>
          <w:szCs w:val="20"/>
          <w:lang w:bidi="ar-SA"/>
        </w:rPr>
        <w:t xml:space="preserve"> du type d’établissement (fiche INSEE SIRENE, statut et objet social ; convention de labellisation par un conseil départemental ou autre financeur</w:t>
      </w:r>
    </w:p>
    <w:p>
      <w:pPr>
        <w:pStyle w:val="Textbody1"/>
        <w:jc w:val="both"/>
        <w:rPr>
          <w:rFonts w:ascii="Marianne" w:hAnsi="Marianne"/>
          <w:b/>
          <w:bCs/>
        </w:rPr>
      </w:pPr>
      <w:r>
        <w:rPr>
          <w:rFonts w:ascii="Marianne" w:hAnsi="Marianne"/>
          <w:b/>
          <w:bCs/>
        </w:rPr>
      </w:r>
    </w:p>
    <w:p>
      <w:pPr>
        <w:pStyle w:val="Standard1"/>
        <w:ind w:hanging="284"/>
        <w:jc w:val="center"/>
        <w:rPr>
          <w:rFonts w:ascii="Marianne" w:hAnsi="Marianne"/>
          <w:b/>
          <w:sz w:val="24"/>
          <w:szCs w:val="24"/>
        </w:rPr>
      </w:pPr>
      <w:r>
        <w:rPr>
          <w:rFonts w:ascii="Marianne" w:hAnsi="Marianne"/>
          <w:b/>
          <w:sz w:val="24"/>
          <w:szCs w:val="24"/>
        </w:rPr>
        <w:t>Date limite de dépôt des dossiers sur SOLTéA : 16/01/2026</w:t>
      </w:r>
    </w:p>
    <w:p>
      <w:pPr>
        <w:pStyle w:val="Standard1"/>
        <w:ind w:hanging="284"/>
        <w:jc w:val="center"/>
        <w:rPr>
          <w:rFonts w:ascii="Marianne" w:hAnsi="Marianne"/>
        </w:rPr>
      </w:pPr>
      <w:r>
        <w:rPr>
          <w:rFonts w:ascii="Marianne" w:hAnsi="Marianne"/>
          <w:b/>
          <w:sz w:val="24"/>
          <w:szCs w:val="24"/>
        </w:rPr>
        <w:t>Complétude de dossiers par mail avec l’instructeur : 15/02/2026</w:t>
      </w:r>
    </w:p>
    <w:p>
      <w:pPr>
        <w:pStyle w:val="Standard1"/>
        <w:widowControl/>
        <w:suppressAutoHyphens w:val="true"/>
        <w:bidi w:val="0"/>
        <w:spacing w:before="0" w:after="0"/>
        <w:ind w:hanging="0" w:left="0" w:right="0"/>
        <w:jc w:val="both"/>
        <w:textAlignment w:val="baseline"/>
        <w:rPr>
          <w:rFonts w:ascii="Marianne" w:hAnsi="Marianne"/>
          <w:b/>
          <w:sz w:val="24"/>
          <w:szCs w:val="24"/>
        </w:rPr>
      </w:pPr>
      <w:r>
        <w:rPr/>
      </w:r>
    </w:p>
    <w:p>
      <w:pPr>
        <w:pStyle w:val="Standard1"/>
        <w:widowControl/>
        <w:suppressAutoHyphens w:val="true"/>
        <w:bidi w:val="0"/>
        <w:spacing w:before="0" w:after="0"/>
        <w:ind w:hanging="0" w:left="0" w:right="0"/>
        <w:jc w:val="both"/>
        <w:textAlignment w:val="baseline"/>
        <w:rPr>
          <w:rFonts w:ascii="Marianne" w:hAnsi="Marianne"/>
          <w:b/>
          <w:sz w:val="24"/>
          <w:szCs w:val="24"/>
        </w:rPr>
      </w:pPr>
      <w:r>
        <w:rPr>
          <w:rFonts w:ascii="Marianne" w:hAnsi="Marianne"/>
          <w:b/>
          <w:sz w:val="24"/>
          <w:szCs w:val="24"/>
        </w:rPr>
        <w:t>Ce document doit être ajouté dans la rubrique « pièces justificatives » lors du dépôt de la demande d’habilitation sur SOLTEA.</w:t>
      </w:r>
    </w:p>
    <w:p>
      <w:pPr>
        <w:pStyle w:val="Textbody1"/>
        <w:jc w:val="both"/>
        <w:rPr>
          <w:b/>
          <w:bCs/>
          <w:sz w:val="22"/>
          <w:szCs w:val="22"/>
        </w:rPr>
      </w:pPr>
      <w:r>
        <w:rPr/>
      </w:r>
    </w:p>
    <w:p>
      <w:pPr>
        <w:pStyle w:val="Textbody1"/>
        <w:jc w:val="both"/>
        <w:rPr>
          <w:b/>
          <w:bCs/>
          <w:sz w:val="22"/>
          <w:szCs w:val="22"/>
        </w:rPr>
      </w:pPr>
      <w:r>
        <w:rPr>
          <w:b/>
          <w:bCs/>
          <w:sz w:val="22"/>
          <w:szCs w:val="22"/>
        </w:rPr>
        <w:t>Présentez votre établissement en renseignant sur SOLTéA les coordonnées de votre établissement siège et celles des composantes lieu de formation</w:t>
      </w:r>
    </w:p>
    <w:tbl>
      <w:tblPr>
        <w:tblW w:w="9402" w:type="dxa"/>
        <w:jc w:val="left"/>
        <w:tblInd w:w="-213" w:type="dxa"/>
        <w:tblLayout w:type="fixed"/>
        <w:tblCellMar>
          <w:top w:w="0" w:type="dxa"/>
          <w:left w:w="70" w:type="dxa"/>
          <w:bottom w:w="0" w:type="dxa"/>
          <w:right w:w="70" w:type="dxa"/>
        </w:tblCellMar>
        <w:tblLook w:firstRow="0" w:noVBand="0" w:lastRow="0" w:firstColumn="0" w:lastColumn="0" w:noHBand="0" w:val="0000"/>
      </w:tblPr>
      <w:tblGrid>
        <w:gridCol w:w="3526"/>
        <w:gridCol w:w="5875"/>
      </w:tblGrid>
      <w:tr>
        <w:trPr/>
        <w:tc>
          <w:tcPr>
            <w:tcW w:w="9401" w:type="dxa"/>
            <w:gridSpan w:val="2"/>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Standard1"/>
              <w:snapToGrid w:val="false"/>
              <w:jc w:val="center"/>
              <w:rPr>
                <w:b/>
                <w:i/>
                <w:i/>
                <w:color w:val="0000FF"/>
              </w:rPr>
            </w:pPr>
            <w:r>
              <w:rPr>
                <w:b/>
                <w:i/>
                <w:color w:val="0000FF"/>
              </w:rPr>
            </w:r>
          </w:p>
          <w:p>
            <w:pPr>
              <w:pStyle w:val="Standard1"/>
              <w:jc w:val="center"/>
              <w:rPr>
                <w:b/>
                <w:i/>
                <w:i/>
                <w:color w:val="0000FF"/>
                <w:sz w:val="24"/>
                <w:szCs w:val="24"/>
              </w:rPr>
            </w:pPr>
            <w:r>
              <w:rPr>
                <w:b/>
                <w:i/>
                <w:color w:val="0000FF"/>
                <w:sz w:val="24"/>
                <w:szCs w:val="24"/>
              </w:rPr>
              <w:t>ORGANISME GESTIONNAIRE déposant la demande</w:t>
            </w:r>
          </w:p>
          <w:p>
            <w:pPr>
              <w:pStyle w:val="Standard1"/>
              <w:jc w:val="center"/>
              <w:rPr>
                <w:b/>
                <w:i/>
                <w:i/>
                <w:color w:val="0000FF"/>
              </w:rPr>
            </w:pPr>
            <w:r>
              <w:rPr>
                <w:b/>
                <w:i/>
                <w:color w:val="0000FF"/>
              </w:rPr>
            </w:r>
          </w:p>
        </w:tc>
      </w:tr>
      <w:tr>
        <w:trPr/>
        <w:tc>
          <w:tcPr>
            <w:tcW w:w="3526" w:type="dxa"/>
            <w:tcBorders>
              <w:top w:val="single" w:sz="4" w:space="0" w:color="000000"/>
              <w:left w:val="single" w:sz="4" w:space="0" w:color="000000"/>
              <w:bottom w:val="single" w:sz="4" w:space="0" w:color="000000"/>
              <w:right w:val="single" w:sz="4" w:space="0" w:color="000000"/>
            </w:tcBorders>
          </w:tcPr>
          <w:p>
            <w:pPr>
              <w:pStyle w:val="Standard1"/>
              <w:spacing w:lineRule="auto" w:line="360"/>
              <w:rPr>
                <w:b/>
                <w:bCs/>
                <w:sz w:val="24"/>
                <w:szCs w:val="24"/>
              </w:rPr>
            </w:pPr>
            <w:r>
              <w:rPr>
                <w:b/>
                <w:bCs/>
                <w:sz w:val="24"/>
                <w:szCs w:val="24"/>
              </w:rPr>
              <w:t>N° SIREN du siège</w:t>
            </w:r>
          </w:p>
        </w:tc>
        <w:tc>
          <w:tcPr>
            <w:tcW w:w="5875" w:type="dxa"/>
            <w:tcBorders>
              <w:top w:val="single" w:sz="4" w:space="0" w:color="000000"/>
              <w:left w:val="single" w:sz="4" w:space="0" w:color="000000"/>
              <w:bottom w:val="single" w:sz="4" w:space="0" w:color="000000"/>
              <w:right w:val="single" w:sz="4" w:space="0" w:color="000000"/>
            </w:tcBorders>
          </w:tcPr>
          <w:p>
            <w:pPr>
              <w:pStyle w:val="Standard1"/>
              <w:snapToGrid w:val="false"/>
              <w:rPr/>
            </w:pPr>
            <w:r>
              <w:rPr/>
            </w:r>
          </w:p>
        </w:tc>
      </w:tr>
      <w:tr>
        <w:trPr/>
        <w:tc>
          <w:tcPr>
            <w:tcW w:w="3526" w:type="dxa"/>
            <w:tcBorders>
              <w:top w:val="single" w:sz="4" w:space="0" w:color="000000"/>
              <w:left w:val="single" w:sz="4" w:space="0" w:color="000000"/>
              <w:bottom w:val="single" w:sz="4" w:space="0" w:color="000000"/>
              <w:right w:val="single" w:sz="4" w:space="0" w:color="000000"/>
            </w:tcBorders>
          </w:tcPr>
          <w:p>
            <w:pPr>
              <w:pStyle w:val="Standard1"/>
              <w:spacing w:lineRule="auto" w:line="360"/>
              <w:rPr>
                <w:b/>
                <w:bCs/>
                <w:sz w:val="24"/>
                <w:szCs w:val="24"/>
              </w:rPr>
            </w:pPr>
            <w:r>
              <w:rPr>
                <w:b/>
                <w:bCs/>
                <w:sz w:val="24"/>
                <w:szCs w:val="24"/>
              </w:rPr>
              <w:t>N° UAI du siège</w:t>
            </w:r>
          </w:p>
        </w:tc>
        <w:tc>
          <w:tcPr>
            <w:tcW w:w="5875" w:type="dxa"/>
            <w:tcBorders>
              <w:top w:val="single" w:sz="4" w:space="0" w:color="000000"/>
              <w:left w:val="single" w:sz="4" w:space="0" w:color="000000"/>
              <w:bottom w:val="single" w:sz="4" w:space="0" w:color="000000"/>
              <w:right w:val="single" w:sz="4" w:space="0" w:color="000000"/>
            </w:tcBorders>
          </w:tcPr>
          <w:p>
            <w:pPr>
              <w:pStyle w:val="Standard1"/>
              <w:snapToGrid w:val="false"/>
              <w:rPr/>
            </w:pPr>
            <w:r>
              <w:rPr/>
            </w:r>
          </w:p>
        </w:tc>
      </w:tr>
      <w:tr>
        <w:trPr/>
        <w:tc>
          <w:tcPr>
            <w:tcW w:w="3526" w:type="dxa"/>
            <w:tcBorders>
              <w:left w:val="single" w:sz="4" w:space="0" w:color="000000"/>
              <w:bottom w:val="single" w:sz="4" w:space="0" w:color="000000"/>
              <w:right w:val="single" w:sz="4" w:space="0" w:color="000000"/>
            </w:tcBorders>
          </w:tcPr>
          <w:p>
            <w:pPr>
              <w:pStyle w:val="Standard1"/>
              <w:spacing w:lineRule="auto" w:line="360"/>
              <w:rPr>
                <w:b/>
                <w:bCs/>
                <w:sz w:val="24"/>
                <w:szCs w:val="24"/>
              </w:rPr>
            </w:pPr>
            <w:r>
              <w:rPr>
                <w:b/>
                <w:bCs/>
                <w:sz w:val="24"/>
                <w:szCs w:val="24"/>
              </w:rPr>
              <w:t>Nom de l’organisme</w:t>
            </w:r>
          </w:p>
        </w:tc>
        <w:tc>
          <w:tcPr>
            <w:tcW w:w="5875" w:type="dxa"/>
            <w:tcBorders>
              <w:left w:val="single" w:sz="4" w:space="0" w:color="000000"/>
              <w:bottom w:val="single" w:sz="4" w:space="0" w:color="000000"/>
              <w:right w:val="single" w:sz="4" w:space="0" w:color="000000"/>
            </w:tcBorders>
          </w:tcPr>
          <w:p>
            <w:pPr>
              <w:pStyle w:val="Standard1"/>
              <w:snapToGrid w:val="false"/>
              <w:rPr/>
            </w:pPr>
            <w:r>
              <w:rPr/>
            </w:r>
          </w:p>
        </w:tc>
      </w:tr>
    </w:tbl>
    <w:p>
      <w:pPr>
        <w:pStyle w:val="Standard1"/>
        <w:rPr>
          <w:sz w:val="24"/>
          <w:szCs w:val="24"/>
        </w:rPr>
      </w:pPr>
      <w:r>
        <w:rPr>
          <w:sz w:val="24"/>
          <w:szCs w:val="24"/>
        </w:rPr>
      </w:r>
    </w:p>
    <w:p>
      <w:pPr>
        <w:pStyle w:val="Standard1"/>
        <w:rPr/>
      </w:pPr>
      <w:r>
        <w:rPr/>
      </w:r>
    </w:p>
    <w:p>
      <w:pPr>
        <w:pStyle w:val="Standard1"/>
        <w:rPr>
          <w:sz w:val="24"/>
          <w:szCs w:val="24"/>
        </w:rPr>
      </w:pPr>
      <w:r>
        <w:rPr>
          <w:sz w:val="24"/>
          <w:szCs w:val="24"/>
        </w:rPr>
        <w:t>Pour chacune des formations proposées, veuillez insérer et remplir un tableau suivant :</w:t>
      </w:r>
    </w:p>
    <w:p>
      <w:pPr>
        <w:pStyle w:val="Standard1"/>
        <w:rPr/>
      </w:pPr>
      <w:r>
        <w:rPr/>
      </w:r>
    </w:p>
    <w:tbl>
      <w:tblPr>
        <w:tblW w:w="9498" w:type="dxa"/>
        <w:jc w:val="left"/>
        <w:tblInd w:w="-289" w:type="dxa"/>
        <w:tblLayout w:type="fixed"/>
        <w:tblCellMar>
          <w:top w:w="0" w:type="dxa"/>
          <w:left w:w="70" w:type="dxa"/>
          <w:bottom w:w="0" w:type="dxa"/>
          <w:right w:w="70" w:type="dxa"/>
        </w:tblCellMar>
        <w:tblLook w:firstRow="0" w:noVBand="0" w:lastRow="0" w:firstColumn="0" w:lastColumn="0" w:noHBand="0" w:val="0000"/>
      </w:tblPr>
      <w:tblGrid>
        <w:gridCol w:w="3686"/>
        <w:gridCol w:w="1418"/>
        <w:gridCol w:w="990"/>
        <w:gridCol w:w="2836"/>
        <w:gridCol w:w="548"/>
        <w:gridCol w:w="20"/>
      </w:tblGrid>
      <w:tr>
        <w:trPr/>
        <w:tc>
          <w:tcPr>
            <w:tcW w:w="9478" w:type="dxa"/>
            <w:gridSpan w:val="5"/>
            <w:tcBorders>
              <w:top w:val="single" w:sz="4" w:space="0" w:color="000000"/>
              <w:left w:val="single" w:sz="4" w:space="0" w:color="000000"/>
              <w:bottom w:val="single" w:sz="4" w:space="0" w:color="000000"/>
              <w:right w:val="single" w:sz="4" w:space="0" w:color="000000"/>
            </w:tcBorders>
            <w:shd w:color="auto" w:fill="E6E6E6" w:val="clear"/>
          </w:tcPr>
          <w:p>
            <w:pPr>
              <w:pStyle w:val="Standard1"/>
              <w:snapToGrid w:val="false"/>
              <w:jc w:val="center"/>
              <w:rPr>
                <w:b/>
                <w:i/>
                <w:i/>
                <w:color w:val="0000FF"/>
              </w:rPr>
            </w:pPr>
            <w:r>
              <w:rPr>
                <w:b/>
                <w:i/>
                <w:color w:val="0000FF"/>
              </w:rPr>
            </w:r>
          </w:p>
          <w:p>
            <w:pPr>
              <w:pStyle w:val="Standard1"/>
              <w:jc w:val="center"/>
              <w:rPr>
                <w:b/>
                <w:i/>
                <w:i/>
                <w:color w:val="0000FF"/>
                <w:sz w:val="24"/>
                <w:szCs w:val="24"/>
              </w:rPr>
            </w:pPr>
            <w:r>
              <w:rPr>
                <w:b/>
                <w:i/>
                <w:color w:val="0000FF"/>
                <w:sz w:val="24"/>
                <w:szCs w:val="24"/>
              </w:rPr>
              <w:t>FORMATIONS PROPOSÉES POUR LA CAMPAGNE A VENIR</w:t>
            </w:r>
          </w:p>
          <w:p>
            <w:pPr>
              <w:pStyle w:val="Standard1"/>
              <w:jc w:val="center"/>
              <w:rPr/>
            </w:pPr>
            <w:r>
              <w:rPr>
                <w:b/>
                <w:i/>
                <w:color w:val="0000FF"/>
                <w:sz w:val="24"/>
                <w:szCs w:val="24"/>
              </w:rPr>
              <w:t>(</w:t>
            </w:r>
            <w:r>
              <w:rPr>
                <w:b/>
                <w:i/>
                <w:color w:val="0000FF"/>
                <w:sz w:val="24"/>
                <w:szCs w:val="24"/>
                <w:u w:val="single"/>
              </w:rPr>
              <w:t>UNE FICHE PAR FORMATION</w:t>
            </w:r>
            <w:r>
              <w:rPr>
                <w:b/>
                <w:i/>
                <w:color w:val="0000FF"/>
                <w:sz w:val="24"/>
                <w:szCs w:val="24"/>
              </w:rPr>
              <w:t>)</w:t>
            </w:r>
          </w:p>
          <w:p>
            <w:pPr>
              <w:pStyle w:val="Standard1"/>
              <w:jc w:val="center"/>
              <w:rPr>
                <w:b/>
                <w:i/>
                <w:i/>
                <w:color w:val="0000FF"/>
              </w:rPr>
            </w:pPr>
            <w:r>
              <w:rPr>
                <w:b/>
                <w:i/>
                <w:color w:val="0000FF"/>
              </w:rPr>
            </w:r>
          </w:p>
        </w:tc>
        <w:tc>
          <w:tcPr>
            <w:tcW w:w="20" w:type="dxa"/>
            <w:tcBorders/>
            <w:tcMar>
              <w:left w:w="10" w:type="dxa"/>
              <w:right w:w="10" w:type="dxa"/>
            </w:tcMar>
          </w:tcPr>
          <w:p>
            <w:pPr>
              <w:pStyle w:val="Normal"/>
              <w:rPr/>
            </w:pPr>
            <w:r>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Code RNCP (répertoire national de la certification professionnelle)</w:t>
            </w:r>
          </w:p>
          <w:p>
            <w:pPr>
              <w:pStyle w:val="Standard1"/>
              <w:rPr/>
            </w:pPr>
            <w:r>
              <w:rPr>
                <w:b/>
                <w:bCs/>
                <w:sz w:val="24"/>
                <w:szCs w:val="24"/>
              </w:rPr>
              <w:t>Code MEN (2</w:t>
            </w:r>
            <w:r>
              <w:rPr>
                <w:b/>
                <w:bCs/>
                <w:sz w:val="24"/>
                <w:szCs w:val="24"/>
                <w:vertAlign w:val="superscript"/>
              </w:rPr>
              <w:t>nd</w:t>
            </w:r>
            <w:r>
              <w:rPr>
                <w:b/>
                <w:bCs/>
                <w:sz w:val="24"/>
                <w:szCs w:val="24"/>
              </w:rPr>
              <w:t xml:space="preserve"> degré) ou</w:t>
            </w:r>
          </w:p>
          <w:p>
            <w:pPr>
              <w:pStyle w:val="Standard1"/>
              <w:rPr>
                <w:b/>
                <w:bCs/>
                <w:sz w:val="24"/>
                <w:szCs w:val="24"/>
              </w:rPr>
            </w:pPr>
            <w:r>
              <w:rPr>
                <w:b/>
                <w:bCs/>
                <w:sz w:val="24"/>
                <w:szCs w:val="24"/>
              </w:rPr>
              <w:t>Code SISE (supérieur)</w:t>
            </w:r>
          </w:p>
        </w:tc>
        <w:tc>
          <w:tcPr>
            <w:tcW w:w="5792" w:type="dxa"/>
            <w:gridSpan w:val="4"/>
            <w:tcBorders>
              <w:top w:val="single" w:sz="4" w:space="0" w:color="000000"/>
              <w:left w:val="single" w:sz="4" w:space="0" w:color="000000"/>
              <w:bottom w:val="single" w:sz="4" w:space="0" w:color="000000"/>
              <w:right w:val="single" w:sz="4" w:space="0" w:color="000000"/>
            </w:tcBorders>
          </w:tcPr>
          <w:p>
            <w:pPr>
              <w:pStyle w:val="Standard1"/>
              <w:snapToGrid w:val="false"/>
              <w:rPr>
                <w:sz w:val="24"/>
                <w:szCs w:val="24"/>
                <w:u w:val="single"/>
              </w:rPr>
            </w:pPr>
            <w:r>
              <w:rPr>
                <w:sz w:val="24"/>
                <w:szCs w:val="24"/>
                <w:u w:val="single"/>
              </w:rPr>
              <w:t>TYPE DE CODE :</w:t>
            </w:r>
          </w:p>
          <w:p>
            <w:pPr>
              <w:pStyle w:val="Standard1"/>
              <w:snapToGrid w:val="false"/>
              <w:rPr>
                <w:sz w:val="24"/>
                <w:szCs w:val="24"/>
                <w:u w:val="single"/>
              </w:rPr>
            </w:pPr>
            <w:r>
              <w:rPr>
                <w:sz w:val="24"/>
                <w:szCs w:val="24"/>
                <w:u w:val="single"/>
              </w:rPr>
            </w:r>
          </w:p>
          <w:p>
            <w:pPr>
              <w:pStyle w:val="Standard1"/>
              <w:snapToGrid w:val="false"/>
              <w:rPr>
                <w:sz w:val="24"/>
                <w:szCs w:val="24"/>
                <w:u w:val="single"/>
              </w:rPr>
            </w:pPr>
            <w:r>
              <w:rPr>
                <w:sz w:val="24"/>
                <w:szCs w:val="24"/>
                <w:u w:val="single"/>
              </w:rPr>
              <w:t>NUMERO DE CODE :</w:t>
            </w:r>
          </w:p>
          <w:p>
            <w:pPr>
              <w:pStyle w:val="Standard1"/>
              <w:snapToGrid w:val="false"/>
              <w:rPr>
                <w:u w:val="single"/>
              </w:rPr>
            </w:pPr>
            <w:r>
              <w:rPr>
                <w:u w:val="single"/>
              </w:rPr>
            </w:r>
          </w:p>
          <w:p>
            <w:pPr>
              <w:pStyle w:val="Standard1"/>
              <w:snapToGrid w:val="false"/>
              <w:rPr>
                <w:sz w:val="24"/>
                <w:szCs w:val="24"/>
                <w:u w:val="single"/>
              </w:rPr>
            </w:pPr>
            <w:r>
              <w:rPr>
                <w:sz w:val="24"/>
                <w:szCs w:val="24"/>
                <w:u w:val="single"/>
              </w:rPr>
            </w:r>
          </w:p>
        </w:tc>
        <w:tc>
          <w:tcPr>
            <w:tcW w:w="20" w:type="dxa"/>
            <w:tcBorders/>
            <w:tcMar>
              <w:left w:w="10" w:type="dxa"/>
              <w:right w:w="10" w:type="dxa"/>
            </w:tcMar>
          </w:tcPr>
          <w:p>
            <w:pPr>
              <w:pStyle w:val="Normal"/>
              <w:rPr/>
            </w:pPr>
            <w:r>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Titre du diplôme</w:t>
            </w:r>
          </w:p>
          <w:p>
            <w:pPr>
              <w:pStyle w:val="Standard1"/>
              <w:rPr>
                <w:b/>
                <w:bCs/>
                <w:sz w:val="24"/>
                <w:szCs w:val="24"/>
              </w:rPr>
            </w:pPr>
            <w:r>
              <w:rPr>
                <w:b/>
                <w:bCs/>
                <w:sz w:val="24"/>
                <w:szCs w:val="24"/>
              </w:rPr>
              <w:t>(Libellé court MEN/RNCP ou SISE)</w:t>
            </w:r>
          </w:p>
        </w:tc>
        <w:tc>
          <w:tcPr>
            <w:tcW w:w="5792" w:type="dxa"/>
            <w:gridSpan w:val="4"/>
            <w:tcBorders>
              <w:top w:val="single" w:sz="4" w:space="0" w:color="000000"/>
              <w:left w:val="single" w:sz="4" w:space="0" w:color="000000"/>
              <w:bottom w:val="single" w:sz="4" w:space="0" w:color="000000"/>
              <w:right w:val="single" w:sz="4" w:space="0" w:color="000000"/>
            </w:tcBorders>
          </w:tcPr>
          <w:p>
            <w:pPr>
              <w:pStyle w:val="Standard1"/>
              <w:snapToGrid w:val="false"/>
              <w:rPr>
                <w:sz w:val="24"/>
                <w:szCs w:val="24"/>
              </w:rPr>
            </w:pPr>
            <w:r>
              <w:rPr>
                <w:sz w:val="24"/>
                <w:szCs w:val="24"/>
              </w:rPr>
            </w:r>
          </w:p>
          <w:p>
            <w:pPr>
              <w:pStyle w:val="Standard1"/>
              <w:snapToGrid w:val="false"/>
              <w:rPr>
                <w:sz w:val="24"/>
                <w:szCs w:val="24"/>
              </w:rPr>
            </w:pPr>
            <w:r>
              <w:rPr>
                <w:sz w:val="24"/>
                <w:szCs w:val="24"/>
              </w:rPr>
            </w:r>
          </w:p>
          <w:p>
            <w:pPr>
              <w:pStyle w:val="Standard1"/>
              <w:snapToGrid w:val="false"/>
              <w:rPr>
                <w:sz w:val="24"/>
                <w:szCs w:val="24"/>
              </w:rPr>
            </w:pPr>
            <w:r>
              <w:rPr>
                <w:sz w:val="24"/>
                <w:szCs w:val="24"/>
              </w:rPr>
            </w:r>
          </w:p>
        </w:tc>
        <w:tc>
          <w:tcPr>
            <w:tcW w:w="20" w:type="dxa"/>
            <w:tcBorders/>
            <w:tcMar>
              <w:left w:w="10" w:type="dxa"/>
              <w:right w:w="10" w:type="dxa"/>
            </w:tcMar>
          </w:tcPr>
          <w:p>
            <w:pPr>
              <w:pStyle w:val="Normal"/>
              <w:rPr/>
            </w:pPr>
            <w:r>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Intitulé de formation</w:t>
            </w:r>
          </w:p>
          <w:p>
            <w:pPr>
              <w:pStyle w:val="Standard1"/>
              <w:rPr>
                <w:b/>
                <w:bCs/>
                <w:sz w:val="24"/>
                <w:szCs w:val="24"/>
              </w:rPr>
            </w:pPr>
            <w:r>
              <w:rPr>
                <w:b/>
                <w:bCs/>
                <w:sz w:val="24"/>
                <w:szCs w:val="24"/>
              </w:rPr>
              <w:t>(Libellé long MEN/RNCP ou SISE)</w:t>
            </w:r>
          </w:p>
          <w:p>
            <w:pPr>
              <w:pStyle w:val="Standard1"/>
              <w:rPr>
                <w:b/>
                <w:bCs/>
                <w:sz w:val="24"/>
                <w:szCs w:val="24"/>
              </w:rPr>
            </w:pPr>
            <w:r>
              <w:rPr>
                <w:b/>
                <w:bCs/>
                <w:sz w:val="24"/>
                <w:szCs w:val="24"/>
              </w:rPr>
            </w:r>
          </w:p>
        </w:tc>
        <w:tc>
          <w:tcPr>
            <w:tcW w:w="5792" w:type="dxa"/>
            <w:gridSpan w:val="4"/>
            <w:tcBorders>
              <w:top w:val="single" w:sz="4" w:space="0" w:color="000000"/>
              <w:left w:val="single" w:sz="4" w:space="0" w:color="000000"/>
              <w:bottom w:val="single" w:sz="4" w:space="0" w:color="000000"/>
              <w:right w:val="single" w:sz="4" w:space="0" w:color="000000"/>
            </w:tcBorders>
          </w:tcPr>
          <w:p>
            <w:pPr>
              <w:pStyle w:val="Standard1"/>
              <w:snapToGrid w:val="false"/>
              <w:rPr>
                <w:sz w:val="24"/>
                <w:szCs w:val="24"/>
              </w:rPr>
            </w:pPr>
            <w:r>
              <w:rPr>
                <w:sz w:val="24"/>
                <w:szCs w:val="24"/>
              </w:rPr>
            </w:r>
          </w:p>
          <w:p>
            <w:pPr>
              <w:pStyle w:val="Standard1"/>
              <w:snapToGrid w:val="false"/>
              <w:rPr>
                <w:sz w:val="24"/>
                <w:szCs w:val="24"/>
              </w:rPr>
            </w:pPr>
            <w:r>
              <w:rPr>
                <w:sz w:val="24"/>
                <w:szCs w:val="24"/>
              </w:rPr>
            </w:r>
          </w:p>
        </w:tc>
        <w:tc>
          <w:tcPr>
            <w:tcW w:w="20" w:type="dxa"/>
            <w:tcBorders/>
            <w:tcMar>
              <w:left w:w="10" w:type="dxa"/>
              <w:right w:w="10" w:type="dxa"/>
            </w:tcMar>
          </w:tcPr>
          <w:p>
            <w:pPr>
              <w:pStyle w:val="Normal"/>
              <w:rPr/>
            </w:pPr>
            <w:r>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Niveau de diplôme :</w:t>
            </w:r>
          </w:p>
          <w:p>
            <w:pPr>
              <w:pStyle w:val="Standard1"/>
              <w:rPr>
                <w:b/>
                <w:bCs/>
                <w:sz w:val="24"/>
                <w:szCs w:val="24"/>
              </w:rPr>
            </w:pPr>
            <w:r>
              <w:rPr>
                <w:b/>
                <w:bCs/>
                <w:sz w:val="24"/>
                <w:szCs w:val="24"/>
              </w:rPr>
              <w:t>(nouvelle nomenclature de 3 à 8)</w:t>
            </w:r>
          </w:p>
        </w:tc>
        <w:tc>
          <w:tcPr>
            <w:tcW w:w="5792" w:type="dxa"/>
            <w:gridSpan w:val="4"/>
            <w:tcBorders>
              <w:top w:val="single" w:sz="4" w:space="0" w:color="000000"/>
              <w:left w:val="single" w:sz="4" w:space="0" w:color="000000"/>
              <w:bottom w:val="single" w:sz="4" w:space="0" w:color="000000"/>
              <w:right w:val="single" w:sz="4" w:space="0" w:color="000000"/>
            </w:tcBorders>
          </w:tcPr>
          <w:p>
            <w:pPr>
              <w:pStyle w:val="Standard1"/>
              <w:snapToGrid w:val="false"/>
              <w:rPr/>
            </w:pPr>
            <w:r>
              <w:rPr/>
            </w:r>
          </w:p>
        </w:tc>
        <w:tc>
          <w:tcPr>
            <w:tcW w:w="20" w:type="dxa"/>
            <w:tcBorders/>
            <w:tcMar>
              <w:left w:w="10" w:type="dxa"/>
              <w:right w:w="10" w:type="dxa"/>
            </w:tcMar>
          </w:tcPr>
          <w:p>
            <w:pPr>
              <w:pStyle w:val="Normal"/>
              <w:rPr/>
            </w:pPr>
            <w:r>
              <w:rPr/>
            </w:r>
          </w:p>
        </w:tc>
      </w:tr>
      <w:tr>
        <w:trPr/>
        <w:tc>
          <w:tcPr>
            <w:tcW w:w="9478" w:type="dxa"/>
            <w:gridSpan w:val="5"/>
            <w:tcBorders>
              <w:top w:val="single" w:sz="4" w:space="0" w:color="000000"/>
              <w:left w:val="single" w:sz="4" w:space="0" w:color="000000"/>
              <w:bottom w:val="single" w:sz="4" w:space="0" w:color="000000"/>
              <w:right w:val="single" w:sz="4" w:space="0" w:color="000000"/>
            </w:tcBorders>
            <w:shd w:color="auto" w:fill="CCCCCC" w:val="clear"/>
          </w:tcPr>
          <w:p>
            <w:pPr>
              <w:pStyle w:val="Standard1"/>
              <w:snapToGrid w:val="false"/>
              <w:jc w:val="center"/>
              <w:rPr>
                <w:b/>
                <w:bCs/>
                <w:i/>
                <w:i/>
                <w:iCs/>
                <w:color w:val="0000FF"/>
              </w:rPr>
            </w:pPr>
            <w:r>
              <w:rPr>
                <w:b/>
                <w:bCs/>
                <w:i/>
                <w:iCs/>
                <w:color w:val="0000FF"/>
              </w:rPr>
            </w:r>
          </w:p>
          <w:p>
            <w:pPr>
              <w:pStyle w:val="Standard1"/>
              <w:jc w:val="center"/>
              <w:rPr>
                <w:b/>
                <w:bCs/>
                <w:i/>
                <w:i/>
                <w:iCs/>
                <w:color w:val="0000FF"/>
                <w:sz w:val="24"/>
                <w:szCs w:val="24"/>
              </w:rPr>
            </w:pPr>
            <w:r>
              <w:rPr>
                <w:b/>
                <w:bCs/>
                <w:i/>
                <w:iCs/>
                <w:color w:val="0000FF"/>
                <w:sz w:val="24"/>
                <w:szCs w:val="24"/>
              </w:rPr>
              <w:t>NATURE ET DURÉE DE LA FORMATION</w:t>
            </w:r>
          </w:p>
          <w:p>
            <w:pPr>
              <w:pStyle w:val="Standard1"/>
              <w:jc w:val="center"/>
              <w:rPr>
                <w:b/>
                <w:bCs/>
                <w:i/>
                <w:i/>
                <w:iCs/>
                <w:color w:val="0000FF"/>
                <w:sz w:val="24"/>
                <w:szCs w:val="24"/>
              </w:rPr>
            </w:pPr>
            <w:r>
              <w:rPr>
                <w:b/>
                <w:bCs/>
                <w:i/>
                <w:iCs/>
                <w:color w:val="0000FF"/>
                <w:sz w:val="24"/>
                <w:szCs w:val="24"/>
              </w:rPr>
            </w:r>
          </w:p>
        </w:tc>
        <w:tc>
          <w:tcPr>
            <w:tcW w:w="20" w:type="dxa"/>
            <w:tcBorders/>
            <w:tcMar>
              <w:left w:w="10" w:type="dxa"/>
              <w:right w:w="10" w:type="dxa"/>
            </w:tcMar>
          </w:tcPr>
          <w:p>
            <w:pPr>
              <w:pStyle w:val="Normal"/>
              <w:rPr/>
            </w:pPr>
            <w:r>
              <w:rPr/>
            </w:r>
            <w:bookmarkStart w:id="0" w:name="_Hlk214269797"/>
            <w:bookmarkStart w:id="1" w:name="_Hlk214269797"/>
            <w:bookmarkEnd w:id="1"/>
          </w:p>
        </w:tc>
      </w:tr>
      <w:tr>
        <w:trPr/>
        <w:tc>
          <w:tcPr>
            <w:tcW w:w="5104" w:type="dxa"/>
            <w:gridSpan w:val="2"/>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Niveau initial requis</w:t>
            </w:r>
          </w:p>
          <w:p>
            <w:pPr>
              <w:pStyle w:val="Standard1"/>
              <w:rPr>
                <w:b/>
                <w:bCs/>
                <w:sz w:val="24"/>
                <w:szCs w:val="24"/>
              </w:rPr>
            </w:pPr>
            <w:r>
              <w:rPr>
                <w:b/>
                <w:bCs/>
                <w:sz w:val="24"/>
                <w:szCs w:val="24"/>
              </w:rPr>
              <w:t>(nouvelle nomenclature)</w:t>
            </w:r>
          </w:p>
        </w:tc>
        <w:tc>
          <w:tcPr>
            <w:tcW w:w="4374" w:type="dxa"/>
            <w:gridSpan w:val="3"/>
            <w:tcBorders>
              <w:top w:val="single" w:sz="4" w:space="0" w:color="000000"/>
              <w:left w:val="single" w:sz="4" w:space="0" w:color="000000"/>
              <w:bottom w:val="single" w:sz="4" w:space="0" w:color="000000"/>
              <w:right w:val="single" w:sz="4" w:space="0" w:color="000000"/>
            </w:tcBorders>
          </w:tcPr>
          <w:p>
            <w:pPr>
              <w:pStyle w:val="Standard1"/>
              <w:snapToGrid w:val="false"/>
              <w:rPr>
                <w:b/>
                <w:bCs/>
              </w:rPr>
            </w:pPr>
            <w:r>
              <w:rPr>
                <w:b/>
                <w:bCs/>
              </w:rPr>
            </w:r>
          </w:p>
        </w:tc>
        <w:tc>
          <w:tcPr>
            <w:tcW w:w="20" w:type="dxa"/>
            <w:tcBorders/>
            <w:tcMar>
              <w:left w:w="10" w:type="dxa"/>
              <w:right w:w="10" w:type="dxa"/>
            </w:tcMar>
          </w:tcPr>
          <w:p>
            <w:pPr>
              <w:pStyle w:val="Normal"/>
              <w:rPr/>
            </w:pPr>
            <w:r>
              <w:rPr/>
            </w:r>
          </w:p>
        </w:tc>
      </w:tr>
      <w:tr>
        <w:trPr/>
        <w:tc>
          <w:tcPr>
            <w:tcW w:w="5104" w:type="dxa"/>
            <w:gridSpan w:val="2"/>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Durée totale de la formation</w:t>
            </w:r>
          </w:p>
          <w:p>
            <w:pPr>
              <w:pStyle w:val="Standard1"/>
              <w:rPr>
                <w:b/>
                <w:bCs/>
                <w:sz w:val="24"/>
                <w:szCs w:val="24"/>
              </w:rPr>
            </w:pPr>
            <w:r>
              <w:rPr>
                <w:b/>
                <w:bCs/>
                <w:sz w:val="24"/>
                <w:szCs w:val="24"/>
              </w:rPr>
            </w:r>
          </w:p>
        </w:tc>
        <w:tc>
          <w:tcPr>
            <w:tcW w:w="4374" w:type="dxa"/>
            <w:gridSpan w:val="3"/>
            <w:tcBorders>
              <w:top w:val="single" w:sz="4" w:space="0" w:color="000000"/>
              <w:left w:val="single" w:sz="4" w:space="0" w:color="000000"/>
              <w:bottom w:val="single" w:sz="4" w:space="0" w:color="000000"/>
              <w:right w:val="single" w:sz="4" w:space="0" w:color="000000"/>
            </w:tcBorders>
          </w:tcPr>
          <w:p>
            <w:pPr>
              <w:pStyle w:val="Standard1"/>
              <w:snapToGrid w:val="false"/>
              <w:rPr>
                <w:b/>
                <w:bCs/>
              </w:rPr>
            </w:pPr>
            <w:r>
              <w:rPr>
                <w:b/>
                <w:bCs/>
              </w:rPr>
            </w:r>
          </w:p>
        </w:tc>
        <w:tc>
          <w:tcPr>
            <w:tcW w:w="20" w:type="dxa"/>
            <w:tcBorders/>
            <w:tcMar>
              <w:left w:w="10" w:type="dxa"/>
              <w:right w:w="10" w:type="dxa"/>
            </w:tcMar>
          </w:tcPr>
          <w:p>
            <w:pPr>
              <w:pStyle w:val="Normal"/>
              <w:rPr/>
            </w:pPr>
            <w:r>
              <w:rPr/>
            </w:r>
          </w:p>
        </w:tc>
      </w:tr>
      <w:tr>
        <w:trPr/>
        <w:tc>
          <w:tcPr>
            <w:tcW w:w="5104" w:type="dxa"/>
            <w:gridSpan w:val="2"/>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Durée de la formation dans l’établissement</w:t>
            </w:r>
          </w:p>
          <w:p>
            <w:pPr>
              <w:pStyle w:val="Standard1"/>
              <w:rPr>
                <w:b/>
                <w:bCs/>
                <w:sz w:val="24"/>
                <w:szCs w:val="24"/>
              </w:rPr>
            </w:pPr>
            <w:r>
              <w:rPr>
                <w:b/>
                <w:bCs/>
                <w:sz w:val="24"/>
                <w:szCs w:val="24"/>
              </w:rPr>
            </w:r>
          </w:p>
        </w:tc>
        <w:tc>
          <w:tcPr>
            <w:tcW w:w="4374" w:type="dxa"/>
            <w:gridSpan w:val="3"/>
            <w:tcBorders>
              <w:top w:val="single" w:sz="4" w:space="0" w:color="000000"/>
              <w:left w:val="single" w:sz="4" w:space="0" w:color="000000"/>
              <w:bottom w:val="single" w:sz="4" w:space="0" w:color="000000"/>
              <w:right w:val="single" w:sz="4" w:space="0" w:color="000000"/>
            </w:tcBorders>
          </w:tcPr>
          <w:p>
            <w:pPr>
              <w:pStyle w:val="Standard1"/>
              <w:snapToGrid w:val="false"/>
              <w:rPr>
                <w:b/>
                <w:bCs/>
              </w:rPr>
            </w:pPr>
            <w:r>
              <w:rPr>
                <w:b/>
                <w:bCs/>
              </w:rPr>
            </w:r>
          </w:p>
        </w:tc>
        <w:tc>
          <w:tcPr>
            <w:tcW w:w="20" w:type="dxa"/>
            <w:tcBorders/>
            <w:tcMar>
              <w:left w:w="10" w:type="dxa"/>
              <w:right w:w="10" w:type="dxa"/>
            </w:tcMar>
          </w:tcPr>
          <w:p>
            <w:pPr>
              <w:pStyle w:val="Normal"/>
              <w:rPr/>
            </w:pPr>
            <w:r>
              <w:rPr/>
            </w:r>
          </w:p>
        </w:tc>
      </w:tr>
      <w:tr>
        <w:trPr/>
        <w:tc>
          <w:tcPr>
            <w:tcW w:w="5104" w:type="dxa"/>
            <w:gridSpan w:val="2"/>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Durée de la formation hors établissement (stages en entreprise)</w:t>
            </w:r>
          </w:p>
          <w:p>
            <w:pPr>
              <w:pStyle w:val="Standard1"/>
              <w:rPr>
                <w:b/>
                <w:bCs/>
                <w:sz w:val="24"/>
                <w:szCs w:val="24"/>
              </w:rPr>
            </w:pPr>
            <w:r>
              <w:rPr>
                <w:b/>
                <w:bCs/>
                <w:sz w:val="24"/>
                <w:szCs w:val="24"/>
              </w:rPr>
            </w:r>
          </w:p>
        </w:tc>
        <w:tc>
          <w:tcPr>
            <w:tcW w:w="4374" w:type="dxa"/>
            <w:gridSpan w:val="3"/>
            <w:tcBorders>
              <w:top w:val="single" w:sz="4" w:space="0" w:color="000000"/>
              <w:left w:val="single" w:sz="4" w:space="0" w:color="000000"/>
              <w:bottom w:val="single" w:sz="4" w:space="0" w:color="000000"/>
              <w:right w:val="single" w:sz="4" w:space="0" w:color="000000"/>
            </w:tcBorders>
          </w:tcPr>
          <w:p>
            <w:pPr>
              <w:pStyle w:val="Standard1"/>
              <w:snapToGrid w:val="false"/>
              <w:rPr>
                <w:b/>
                <w:bCs/>
              </w:rPr>
            </w:pPr>
            <w:r>
              <w:rPr>
                <w:b/>
                <w:bCs/>
              </w:rPr>
            </w:r>
          </w:p>
        </w:tc>
        <w:tc>
          <w:tcPr>
            <w:tcW w:w="20" w:type="dxa"/>
            <w:tcBorders/>
            <w:tcMar>
              <w:left w:w="10" w:type="dxa"/>
              <w:right w:w="10" w:type="dxa"/>
            </w:tcMar>
          </w:tcPr>
          <w:p>
            <w:pPr>
              <w:pStyle w:val="Normal"/>
              <w:rPr/>
            </w:pPr>
            <w:r>
              <w:rPr/>
            </w:r>
          </w:p>
        </w:tc>
      </w:tr>
      <w:tr>
        <w:trPr/>
        <w:tc>
          <w:tcPr>
            <w:tcW w:w="5104" w:type="dxa"/>
            <w:gridSpan w:val="2"/>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Niveau préparé</w:t>
            </w:r>
          </w:p>
          <w:p>
            <w:pPr>
              <w:pStyle w:val="Standard1"/>
              <w:rPr>
                <w:b/>
                <w:bCs/>
                <w:sz w:val="24"/>
                <w:szCs w:val="24"/>
              </w:rPr>
            </w:pPr>
            <w:r>
              <w:rPr>
                <w:b/>
                <w:bCs/>
                <w:sz w:val="24"/>
                <w:szCs w:val="24"/>
              </w:rPr>
            </w:r>
          </w:p>
        </w:tc>
        <w:tc>
          <w:tcPr>
            <w:tcW w:w="4374" w:type="dxa"/>
            <w:gridSpan w:val="3"/>
            <w:tcBorders>
              <w:top w:val="single" w:sz="4" w:space="0" w:color="000000"/>
              <w:left w:val="single" w:sz="4" w:space="0" w:color="000000"/>
              <w:bottom w:val="single" w:sz="4" w:space="0" w:color="000000"/>
              <w:right w:val="single" w:sz="4" w:space="0" w:color="000000"/>
            </w:tcBorders>
          </w:tcPr>
          <w:p>
            <w:pPr>
              <w:pStyle w:val="Standard1"/>
              <w:snapToGrid w:val="false"/>
              <w:rPr>
                <w:b/>
                <w:bCs/>
              </w:rPr>
            </w:pPr>
            <w:r>
              <w:rPr>
                <w:b/>
                <w:bCs/>
              </w:rPr>
            </w:r>
          </w:p>
        </w:tc>
        <w:tc>
          <w:tcPr>
            <w:tcW w:w="20" w:type="dxa"/>
            <w:tcBorders/>
            <w:tcMar>
              <w:left w:w="10" w:type="dxa"/>
              <w:right w:w="10" w:type="dxa"/>
            </w:tcMar>
          </w:tcPr>
          <w:p>
            <w:pPr>
              <w:pStyle w:val="Normal"/>
              <w:rPr/>
            </w:pPr>
            <w:r>
              <w:rPr/>
            </w:r>
          </w:p>
        </w:tc>
      </w:tr>
      <w:tr>
        <w:trPr/>
        <w:tc>
          <w:tcPr>
            <w:tcW w:w="5104" w:type="dxa"/>
            <w:gridSpan w:val="2"/>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Enseignements technologiques ou professionnels dispensés</w:t>
            </w:r>
          </w:p>
          <w:p>
            <w:pPr>
              <w:pStyle w:val="Standard1"/>
              <w:rPr>
                <w:b/>
                <w:bCs/>
                <w:sz w:val="24"/>
                <w:szCs w:val="24"/>
              </w:rPr>
            </w:pPr>
            <w:r>
              <w:rPr>
                <w:b/>
                <w:bCs/>
                <w:sz w:val="24"/>
                <w:szCs w:val="24"/>
              </w:rPr>
            </w:r>
          </w:p>
        </w:tc>
        <w:tc>
          <w:tcPr>
            <w:tcW w:w="4374" w:type="dxa"/>
            <w:gridSpan w:val="3"/>
            <w:tcBorders>
              <w:top w:val="single" w:sz="4" w:space="0" w:color="000000"/>
              <w:left w:val="single" w:sz="4" w:space="0" w:color="000000"/>
              <w:bottom w:val="single" w:sz="4" w:space="0" w:color="000000"/>
              <w:right w:val="single" w:sz="4" w:space="0" w:color="000000"/>
            </w:tcBorders>
          </w:tcPr>
          <w:p>
            <w:pPr>
              <w:pStyle w:val="Standard1"/>
              <w:snapToGrid w:val="false"/>
              <w:rPr>
                <w:b/>
                <w:bCs/>
              </w:rPr>
            </w:pPr>
            <w:r>
              <w:rPr>
                <w:b/>
                <w:bCs/>
              </w:rPr>
            </w:r>
          </w:p>
        </w:tc>
        <w:tc>
          <w:tcPr>
            <w:tcW w:w="20" w:type="dxa"/>
            <w:tcBorders/>
            <w:tcMar>
              <w:left w:w="10" w:type="dxa"/>
              <w:right w:w="10" w:type="dxa"/>
            </w:tcMar>
          </w:tcPr>
          <w:p>
            <w:pPr>
              <w:pStyle w:val="Normal"/>
              <w:rPr/>
            </w:pPr>
            <w:r>
              <w:rPr/>
            </w:r>
          </w:p>
        </w:tc>
      </w:tr>
      <w:tr>
        <w:trPr/>
        <w:tc>
          <w:tcPr>
            <w:tcW w:w="5104" w:type="dxa"/>
            <w:gridSpan w:val="2"/>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Découverte du milieu professionnel</w:t>
            </w:r>
          </w:p>
          <w:p>
            <w:pPr>
              <w:pStyle w:val="Standard1"/>
              <w:rPr>
                <w:sz w:val="24"/>
                <w:szCs w:val="24"/>
              </w:rPr>
            </w:pPr>
            <w:r>
              <w:rPr>
                <w:sz w:val="24"/>
                <w:szCs w:val="24"/>
              </w:rPr>
              <w:t>Détaillez le parcours</w:t>
            </w:r>
          </w:p>
          <w:p>
            <w:pPr>
              <w:pStyle w:val="Standard1"/>
              <w:rPr>
                <w:b/>
                <w:bCs/>
                <w:sz w:val="24"/>
                <w:szCs w:val="24"/>
              </w:rPr>
            </w:pPr>
            <w:r>
              <w:rPr>
                <w:b/>
                <w:bCs/>
                <w:sz w:val="24"/>
                <w:szCs w:val="24"/>
              </w:rPr>
            </w:r>
          </w:p>
        </w:tc>
        <w:tc>
          <w:tcPr>
            <w:tcW w:w="4374" w:type="dxa"/>
            <w:gridSpan w:val="3"/>
            <w:tcBorders>
              <w:top w:val="single" w:sz="4" w:space="0" w:color="000000"/>
              <w:left w:val="single" w:sz="4" w:space="0" w:color="000000"/>
              <w:bottom w:val="single" w:sz="4" w:space="0" w:color="000000"/>
              <w:right w:val="single" w:sz="4" w:space="0" w:color="000000"/>
            </w:tcBorders>
          </w:tcPr>
          <w:p>
            <w:pPr>
              <w:pStyle w:val="Standard1"/>
              <w:snapToGrid w:val="false"/>
              <w:rPr>
                <w:b/>
                <w:bCs/>
              </w:rPr>
            </w:pPr>
            <w:r>
              <w:rPr>
                <w:b/>
                <w:bCs/>
              </w:rPr>
            </w:r>
          </w:p>
          <w:p>
            <w:pPr>
              <w:pStyle w:val="Standard1"/>
              <w:snapToGrid w:val="false"/>
              <w:rPr/>
            </w:pPr>
            <w:r>
              <w:rPr/>
            </w:r>
          </w:p>
          <w:p>
            <w:pPr>
              <w:pStyle w:val="Standard1"/>
              <w:snapToGrid w:val="false"/>
              <w:rPr/>
            </w:pPr>
            <w:r>
              <w:rPr/>
            </w:r>
          </w:p>
        </w:tc>
        <w:tc>
          <w:tcPr>
            <w:tcW w:w="20" w:type="dxa"/>
            <w:tcBorders/>
            <w:tcMar>
              <w:left w:w="10" w:type="dxa"/>
              <w:right w:w="10" w:type="dxa"/>
            </w:tcMar>
          </w:tcPr>
          <w:p>
            <w:pPr>
              <w:pStyle w:val="Normal"/>
              <w:rPr/>
            </w:pPr>
            <w:r>
              <w:rPr/>
            </w:r>
          </w:p>
        </w:tc>
      </w:tr>
      <w:tr>
        <w:trPr/>
        <w:tc>
          <w:tcPr>
            <w:tcW w:w="9478" w:type="dxa"/>
            <w:gridSpan w:val="5"/>
            <w:tcBorders>
              <w:top w:val="single" w:sz="4" w:space="0" w:color="000000"/>
              <w:left w:val="single" w:sz="4" w:space="0" w:color="000000"/>
              <w:bottom w:val="single" w:sz="4" w:space="0" w:color="000000"/>
              <w:right w:val="single" w:sz="4" w:space="0" w:color="000000"/>
            </w:tcBorders>
            <w:shd w:color="auto" w:fill="E6E6E6" w:val="clear"/>
          </w:tcPr>
          <w:p>
            <w:pPr>
              <w:pStyle w:val="Standard1"/>
              <w:snapToGrid w:val="false"/>
              <w:jc w:val="center"/>
              <w:rPr>
                <w:b/>
                <w:i/>
                <w:i/>
                <w:color w:val="0000FF"/>
              </w:rPr>
            </w:pPr>
            <w:r>
              <w:rPr>
                <w:b/>
                <w:i/>
                <w:color w:val="0000FF"/>
              </w:rPr>
            </w:r>
          </w:p>
          <w:p>
            <w:pPr>
              <w:pStyle w:val="Standard1"/>
              <w:jc w:val="center"/>
              <w:rPr>
                <w:b/>
                <w:i/>
                <w:i/>
                <w:color w:val="0000FF"/>
                <w:sz w:val="24"/>
                <w:szCs w:val="24"/>
              </w:rPr>
            </w:pPr>
            <w:r>
              <w:rPr>
                <w:b/>
                <w:i/>
                <w:color w:val="0000FF"/>
                <w:sz w:val="24"/>
                <w:szCs w:val="24"/>
              </w:rPr>
              <w:t>PUBLIC ACCUEILLI AU 31 DECEMBRE 2025</w:t>
            </w:r>
          </w:p>
          <w:p>
            <w:pPr>
              <w:pStyle w:val="Standard1"/>
              <w:jc w:val="center"/>
              <w:rPr>
                <w:b/>
                <w:i/>
                <w:i/>
                <w:color w:val="0000FF"/>
              </w:rPr>
            </w:pPr>
            <w:r>
              <w:rPr>
                <w:b/>
                <w:i/>
                <w:color w:val="0000FF"/>
              </w:rPr>
            </w:r>
          </w:p>
        </w:tc>
        <w:tc>
          <w:tcPr>
            <w:tcW w:w="20" w:type="dxa"/>
            <w:tcBorders/>
            <w:tcMar>
              <w:left w:w="10" w:type="dxa"/>
              <w:right w:w="10" w:type="dxa"/>
            </w:tcMar>
          </w:tcPr>
          <w:p>
            <w:pPr>
              <w:pStyle w:val="Normal"/>
              <w:rPr/>
            </w:pPr>
            <w:r>
              <w:rPr/>
            </w:r>
          </w:p>
        </w:tc>
      </w:tr>
      <w:tr>
        <w:trPr>
          <w:trHeight w:val="345" w:hRule="atLeast"/>
        </w:trPr>
        <w:tc>
          <w:tcPr>
            <w:tcW w:w="6094" w:type="dxa"/>
            <w:gridSpan w:val="3"/>
            <w:tcBorders>
              <w:top w:val="single" w:sz="4" w:space="0" w:color="000000"/>
              <w:left w:val="single" w:sz="4" w:space="0" w:color="000000"/>
              <w:bottom w:val="single" w:sz="4" w:space="0" w:color="000000"/>
              <w:right w:val="single" w:sz="4" w:space="0" w:color="000000"/>
            </w:tcBorders>
            <w:vAlign w:val="center"/>
          </w:tcPr>
          <w:p>
            <w:pPr>
              <w:pStyle w:val="Standard1"/>
              <w:suppressAutoHyphens w:val="false"/>
              <w:jc w:val="center"/>
              <w:rPr>
                <w:b/>
                <w:bCs/>
                <w:sz w:val="24"/>
                <w:szCs w:val="24"/>
                <w:lang w:eastAsia="fr-FR"/>
              </w:rPr>
            </w:pPr>
            <w:r>
              <w:rPr>
                <w:b/>
                <w:bCs/>
                <w:sz w:val="24"/>
                <w:szCs w:val="24"/>
                <w:lang w:eastAsia="fr-FR"/>
              </w:rPr>
              <w:t>Statut du public accueilli</w:t>
            </w:r>
          </w:p>
        </w:tc>
        <w:tc>
          <w:tcPr>
            <w:tcW w:w="3404" w:type="dxa"/>
            <w:gridSpan w:val="3"/>
            <w:tcBorders>
              <w:top w:val="single" w:sz="4" w:space="0" w:color="000000"/>
              <w:left w:val="single" w:sz="4" w:space="0" w:color="000000"/>
              <w:bottom w:val="single" w:sz="4" w:space="0" w:color="000000"/>
              <w:right w:val="single" w:sz="4" w:space="0" w:color="000000"/>
            </w:tcBorders>
            <w:vAlign w:val="center"/>
          </w:tcPr>
          <w:p>
            <w:pPr>
              <w:pStyle w:val="Standard1"/>
              <w:suppressAutoHyphens w:val="false"/>
              <w:jc w:val="center"/>
              <w:rPr>
                <w:b/>
                <w:bCs/>
                <w:sz w:val="24"/>
                <w:szCs w:val="24"/>
                <w:lang w:eastAsia="fr-FR"/>
              </w:rPr>
            </w:pPr>
            <w:r>
              <w:rPr>
                <w:b/>
                <w:bCs/>
                <w:sz w:val="24"/>
                <w:szCs w:val="24"/>
                <w:lang w:eastAsia="fr-FR"/>
              </w:rPr>
              <w:t>Nombre</w:t>
            </w:r>
          </w:p>
        </w:tc>
      </w:tr>
      <w:tr>
        <w:trPr>
          <w:trHeight w:val="264" w:hRule="atLeast"/>
        </w:trPr>
        <w:tc>
          <w:tcPr>
            <w:tcW w:w="6094" w:type="dxa"/>
            <w:gridSpan w:val="3"/>
            <w:tcBorders>
              <w:top w:val="single" w:sz="4" w:space="0" w:color="000000"/>
              <w:left w:val="single" w:sz="4" w:space="0" w:color="000000"/>
              <w:bottom w:val="single" w:sz="4" w:space="0" w:color="000000"/>
              <w:right w:val="single" w:sz="4" w:space="0" w:color="000000"/>
            </w:tcBorders>
            <w:vAlign w:val="bottom"/>
          </w:tcPr>
          <w:p>
            <w:pPr>
              <w:pStyle w:val="Standard1"/>
              <w:suppressAutoHyphens w:val="false"/>
              <w:rPr>
                <w:b/>
                <w:bCs/>
                <w:sz w:val="24"/>
                <w:szCs w:val="24"/>
                <w:lang w:eastAsia="fr-FR"/>
              </w:rPr>
            </w:pPr>
            <w:r>
              <w:rPr>
                <w:b/>
                <w:bCs/>
                <w:sz w:val="24"/>
                <w:szCs w:val="24"/>
                <w:lang w:eastAsia="fr-FR"/>
              </w:rPr>
              <w:t>scolaires</w:t>
            </w:r>
          </w:p>
        </w:tc>
        <w:tc>
          <w:tcPr>
            <w:tcW w:w="3404" w:type="dxa"/>
            <w:gridSpan w:val="3"/>
            <w:tcBorders>
              <w:top w:val="single" w:sz="4" w:space="0" w:color="000000"/>
              <w:left w:val="single" w:sz="4" w:space="0" w:color="000000"/>
              <w:bottom w:val="single" w:sz="4" w:space="0" w:color="000000"/>
              <w:right w:val="single" w:sz="4" w:space="0" w:color="000000"/>
            </w:tcBorders>
            <w:vAlign w:val="bottom"/>
          </w:tcPr>
          <w:p>
            <w:pPr>
              <w:pStyle w:val="Standard1"/>
              <w:suppressAutoHyphens w:val="false"/>
              <w:rPr>
                <w:lang w:eastAsia="fr-FR"/>
              </w:rPr>
            </w:pPr>
            <w:r>
              <w:rPr/>
            </w:r>
          </w:p>
        </w:tc>
      </w:tr>
      <w:tr>
        <w:trPr>
          <w:trHeight w:val="264" w:hRule="atLeast"/>
        </w:trPr>
        <w:tc>
          <w:tcPr>
            <w:tcW w:w="6094" w:type="dxa"/>
            <w:gridSpan w:val="3"/>
            <w:tcBorders>
              <w:top w:val="single" w:sz="4" w:space="0" w:color="000000"/>
              <w:left w:val="single" w:sz="4" w:space="0" w:color="000000"/>
              <w:bottom w:val="single" w:sz="4" w:space="0" w:color="000000"/>
              <w:right w:val="single" w:sz="4" w:space="0" w:color="000000"/>
            </w:tcBorders>
            <w:vAlign w:val="bottom"/>
          </w:tcPr>
          <w:p>
            <w:pPr>
              <w:pStyle w:val="Standard1"/>
              <w:suppressAutoHyphens w:val="false"/>
              <w:rPr>
                <w:b/>
                <w:bCs/>
                <w:sz w:val="24"/>
                <w:szCs w:val="24"/>
                <w:lang w:eastAsia="fr-FR"/>
              </w:rPr>
            </w:pPr>
            <w:r>
              <w:rPr>
                <w:b/>
                <w:bCs/>
                <w:sz w:val="24"/>
                <w:szCs w:val="24"/>
                <w:lang w:eastAsia="fr-FR"/>
              </w:rPr>
              <w:t>étudiants</w:t>
            </w:r>
          </w:p>
        </w:tc>
        <w:tc>
          <w:tcPr>
            <w:tcW w:w="3404" w:type="dxa"/>
            <w:gridSpan w:val="3"/>
            <w:tcBorders>
              <w:top w:val="single" w:sz="4" w:space="0" w:color="000000"/>
              <w:left w:val="single" w:sz="4" w:space="0" w:color="000000"/>
              <w:bottom w:val="single" w:sz="4" w:space="0" w:color="000000"/>
              <w:right w:val="single" w:sz="4" w:space="0" w:color="000000"/>
            </w:tcBorders>
            <w:vAlign w:val="bottom"/>
          </w:tcPr>
          <w:p>
            <w:pPr>
              <w:pStyle w:val="Standard1"/>
              <w:suppressAutoHyphens w:val="false"/>
              <w:rPr>
                <w:lang w:eastAsia="fr-FR"/>
              </w:rPr>
            </w:pPr>
            <w:r>
              <w:rPr/>
            </w:r>
          </w:p>
        </w:tc>
      </w:tr>
      <w:tr>
        <w:trPr>
          <w:trHeight w:val="264" w:hRule="atLeast"/>
        </w:trPr>
        <w:tc>
          <w:tcPr>
            <w:tcW w:w="6094" w:type="dxa"/>
            <w:gridSpan w:val="3"/>
            <w:tcBorders>
              <w:top w:val="single" w:sz="4" w:space="0" w:color="000000"/>
              <w:left w:val="single" w:sz="4" w:space="0" w:color="000000"/>
              <w:bottom w:val="single" w:sz="4" w:space="0" w:color="000000"/>
              <w:right w:val="single" w:sz="4" w:space="0" w:color="000000"/>
            </w:tcBorders>
            <w:vAlign w:val="bottom"/>
          </w:tcPr>
          <w:p>
            <w:pPr>
              <w:pStyle w:val="Standard1"/>
              <w:suppressAutoHyphens w:val="false"/>
              <w:rPr>
                <w:b/>
                <w:bCs/>
                <w:sz w:val="24"/>
                <w:szCs w:val="24"/>
                <w:lang w:eastAsia="fr-FR"/>
              </w:rPr>
            </w:pPr>
            <w:r>
              <w:rPr>
                <w:b/>
                <w:bCs/>
                <w:sz w:val="24"/>
                <w:szCs w:val="24"/>
                <w:lang w:eastAsia="fr-FR"/>
              </w:rPr>
              <w:t>Apprentis stagiaires de la formation professionnelle</w:t>
            </w:r>
          </w:p>
        </w:tc>
        <w:tc>
          <w:tcPr>
            <w:tcW w:w="3404" w:type="dxa"/>
            <w:gridSpan w:val="3"/>
            <w:tcBorders>
              <w:top w:val="single" w:sz="4" w:space="0" w:color="000000"/>
              <w:left w:val="single" w:sz="4" w:space="0" w:color="000000"/>
              <w:bottom w:val="single" w:sz="4" w:space="0" w:color="000000"/>
              <w:right w:val="single" w:sz="4" w:space="0" w:color="000000"/>
            </w:tcBorders>
            <w:vAlign w:val="bottom"/>
          </w:tcPr>
          <w:p>
            <w:pPr>
              <w:pStyle w:val="Standard1"/>
              <w:suppressAutoHyphens w:val="false"/>
              <w:rPr>
                <w:lang w:eastAsia="fr-FR"/>
              </w:rPr>
            </w:pPr>
            <w:r>
              <w:rPr/>
            </w:r>
          </w:p>
        </w:tc>
      </w:tr>
      <w:tr>
        <w:trPr>
          <w:trHeight w:val="264" w:hRule="atLeast"/>
        </w:trPr>
        <w:tc>
          <w:tcPr>
            <w:tcW w:w="6094" w:type="dxa"/>
            <w:gridSpan w:val="3"/>
            <w:tcBorders>
              <w:top w:val="single" w:sz="4" w:space="0" w:color="000000"/>
              <w:left w:val="single" w:sz="4" w:space="0" w:color="000000"/>
              <w:bottom w:val="single" w:sz="4" w:space="0" w:color="000000"/>
              <w:right w:val="single" w:sz="4" w:space="0" w:color="000000"/>
            </w:tcBorders>
            <w:vAlign w:val="bottom"/>
          </w:tcPr>
          <w:p>
            <w:pPr>
              <w:pStyle w:val="Standard1"/>
              <w:suppressAutoHyphens w:val="false"/>
              <w:rPr>
                <w:b/>
                <w:bCs/>
                <w:sz w:val="24"/>
                <w:szCs w:val="24"/>
                <w:lang w:eastAsia="fr-FR"/>
              </w:rPr>
            </w:pPr>
            <w:r>
              <w:rPr>
                <w:b/>
                <w:bCs/>
                <w:sz w:val="24"/>
                <w:szCs w:val="24"/>
                <w:lang w:eastAsia="fr-FR"/>
              </w:rPr>
              <w:t>Autres : lequel :</w:t>
            </w:r>
          </w:p>
        </w:tc>
        <w:tc>
          <w:tcPr>
            <w:tcW w:w="3404" w:type="dxa"/>
            <w:gridSpan w:val="3"/>
            <w:tcBorders>
              <w:top w:val="single" w:sz="4" w:space="0" w:color="000000"/>
              <w:left w:val="single" w:sz="4" w:space="0" w:color="000000"/>
              <w:bottom w:val="single" w:sz="4" w:space="0" w:color="000000"/>
              <w:right w:val="single" w:sz="4" w:space="0" w:color="000000"/>
            </w:tcBorders>
            <w:vAlign w:val="bottom"/>
          </w:tcPr>
          <w:p>
            <w:pPr>
              <w:pStyle w:val="Standard1"/>
              <w:suppressAutoHyphens w:val="false"/>
              <w:rPr>
                <w:lang w:eastAsia="fr-FR"/>
              </w:rPr>
            </w:pPr>
            <w:r>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Conditions de recrutement</w:t>
            </w:r>
          </w:p>
        </w:tc>
        <w:tc>
          <w:tcPr>
            <w:tcW w:w="5792" w:type="dxa"/>
            <w:gridSpan w:val="4"/>
            <w:tcBorders>
              <w:top w:val="single" w:sz="4" w:space="0" w:color="000000"/>
              <w:left w:val="single" w:sz="4" w:space="0" w:color="000000"/>
              <w:bottom w:val="single" w:sz="4" w:space="0" w:color="000000"/>
              <w:right w:val="single" w:sz="4" w:space="0" w:color="000000"/>
            </w:tcBorders>
          </w:tcPr>
          <w:p>
            <w:pPr>
              <w:pStyle w:val="Standard1"/>
              <w:snapToGrid w:val="false"/>
              <w:rPr/>
            </w:pPr>
            <w:r>
              <w:rPr/>
            </w:r>
          </w:p>
          <w:p>
            <w:pPr>
              <w:pStyle w:val="Standard1"/>
              <w:snapToGrid w:val="false"/>
              <w:rPr/>
            </w:pPr>
            <w:r>
              <w:rPr/>
            </w:r>
          </w:p>
        </w:tc>
        <w:tc>
          <w:tcPr>
            <w:tcW w:w="20" w:type="dxa"/>
            <w:tcBorders/>
            <w:tcMar>
              <w:left w:w="10" w:type="dxa"/>
              <w:right w:w="10" w:type="dxa"/>
            </w:tcMar>
          </w:tcPr>
          <w:p>
            <w:pPr>
              <w:pStyle w:val="Normal"/>
              <w:rPr/>
            </w:pPr>
            <w:r>
              <w:rPr/>
            </w:r>
          </w:p>
        </w:tc>
      </w:tr>
      <w:tr>
        <w:trPr/>
        <w:tc>
          <w:tcPr>
            <w:tcW w:w="8930" w:type="dxa"/>
            <w:gridSpan w:val="4"/>
            <w:tcBorders>
              <w:top w:val="single" w:sz="4" w:space="0" w:color="000000"/>
              <w:left w:val="single" w:sz="4" w:space="0" w:color="000000"/>
              <w:bottom w:val="single" w:sz="4" w:space="0" w:color="000000"/>
              <w:right w:val="single" w:sz="4" w:space="0" w:color="000000"/>
            </w:tcBorders>
          </w:tcPr>
          <w:p>
            <w:pPr>
              <w:pStyle w:val="Standard1"/>
              <w:rPr/>
            </w:pPr>
            <w:r>
              <w:rPr>
                <w:bCs/>
              </w:rPr>
              <w:t>Rappel : les apprenants en contrat de professionnalisation relèvent de la formation professionnelle</w:t>
            </w:r>
            <w:r>
              <w:rPr>
                <w:b/>
                <w:bCs/>
              </w:rPr>
              <w:t xml:space="preserve"> </w:t>
            </w:r>
            <w:r>
              <w:rPr>
                <w:bCs/>
              </w:rPr>
              <w:t>continue</w:t>
            </w:r>
          </w:p>
        </w:tc>
        <w:tc>
          <w:tcPr>
            <w:tcW w:w="548" w:type="dxa"/>
            <w:tcBorders>
              <w:top w:val="single" w:sz="4" w:space="0" w:color="000000"/>
              <w:left w:val="single" w:sz="4" w:space="0" w:color="000000"/>
              <w:bottom w:val="single" w:sz="4" w:space="0" w:color="000000"/>
              <w:right w:val="single" w:sz="4" w:space="0" w:color="000000"/>
            </w:tcBorders>
          </w:tcPr>
          <w:p>
            <w:pPr>
              <w:pStyle w:val="Standard1"/>
              <w:snapToGrid w:val="false"/>
              <w:rPr/>
            </w:pPr>
            <w:r>
              <w:rPr/>
            </w:r>
          </w:p>
          <w:p>
            <w:pPr>
              <w:pStyle w:val="Standard1"/>
              <w:snapToGrid w:val="false"/>
              <w:rPr/>
            </w:pPr>
            <w:r>
              <w:rPr/>
            </w:r>
          </w:p>
        </w:tc>
        <w:tc>
          <w:tcPr>
            <w:tcW w:w="20" w:type="dxa"/>
            <w:tcBorders/>
            <w:tcMar>
              <w:left w:w="10" w:type="dxa"/>
              <w:right w:w="10" w:type="dxa"/>
            </w:tcMar>
          </w:tcPr>
          <w:p>
            <w:pPr>
              <w:pStyle w:val="Normal"/>
              <w:rPr/>
            </w:pPr>
            <w:r>
              <w:rPr/>
            </w:r>
          </w:p>
        </w:tc>
      </w:tr>
      <w:tr>
        <w:trPr/>
        <w:tc>
          <w:tcPr>
            <w:tcW w:w="9478" w:type="dxa"/>
            <w:gridSpan w:val="5"/>
            <w:tcBorders>
              <w:top w:val="single" w:sz="4" w:space="0" w:color="000000"/>
              <w:left w:val="single" w:sz="4" w:space="0" w:color="000000"/>
              <w:bottom w:val="single" w:sz="4" w:space="0" w:color="000000"/>
              <w:right w:val="single" w:sz="4" w:space="0" w:color="000000"/>
            </w:tcBorders>
            <w:shd w:color="auto" w:fill="CCCCCC" w:val="clear"/>
          </w:tcPr>
          <w:p>
            <w:pPr>
              <w:pStyle w:val="Standard1"/>
              <w:snapToGrid w:val="false"/>
              <w:jc w:val="center"/>
              <w:rPr>
                <w:b/>
                <w:bCs/>
                <w:i/>
                <w:i/>
                <w:iCs/>
                <w:color w:val="0000FF"/>
              </w:rPr>
            </w:pPr>
            <w:r>
              <w:rPr>
                <w:b/>
                <w:bCs/>
                <w:i/>
                <w:iCs/>
                <w:color w:val="0000FF"/>
              </w:rPr>
            </w:r>
          </w:p>
          <w:p>
            <w:pPr>
              <w:pStyle w:val="Standard1"/>
              <w:jc w:val="center"/>
              <w:rPr>
                <w:b/>
                <w:bCs/>
                <w:i/>
                <w:i/>
                <w:iCs/>
                <w:color w:val="0000FF"/>
                <w:sz w:val="24"/>
                <w:szCs w:val="24"/>
              </w:rPr>
            </w:pPr>
            <w:r>
              <w:rPr>
                <w:b/>
                <w:bCs/>
                <w:i/>
                <w:iCs/>
                <w:color w:val="0000FF"/>
                <w:sz w:val="24"/>
                <w:szCs w:val="24"/>
              </w:rPr>
              <w:t>NATURE ET DURÉE DE L’ACCOMPAGNEMENT pour les établissements visant l’insertion professionnelle sans formation qualifiante</w:t>
            </w:r>
          </w:p>
          <w:p>
            <w:pPr>
              <w:pStyle w:val="Standard1"/>
              <w:jc w:val="center"/>
              <w:rPr>
                <w:b/>
                <w:bCs/>
                <w:i/>
                <w:i/>
                <w:iCs/>
                <w:color w:val="0000FF"/>
                <w:sz w:val="24"/>
                <w:szCs w:val="24"/>
              </w:rPr>
            </w:pPr>
            <w:r>
              <w:rPr>
                <w:b/>
                <w:bCs/>
                <w:i/>
                <w:iCs/>
                <w:color w:val="0000FF"/>
                <w:sz w:val="24"/>
                <w:szCs w:val="24"/>
              </w:rPr>
            </w:r>
          </w:p>
        </w:tc>
        <w:tc>
          <w:tcPr>
            <w:tcW w:w="20" w:type="dxa"/>
            <w:tcBorders/>
            <w:tcMar>
              <w:left w:w="10" w:type="dxa"/>
              <w:right w:w="10" w:type="dxa"/>
            </w:tcMar>
          </w:tcPr>
          <w:p>
            <w:pPr>
              <w:pStyle w:val="Normal"/>
              <w:rPr/>
            </w:pPr>
            <w:r>
              <w:rPr/>
            </w:r>
          </w:p>
        </w:tc>
      </w:tr>
      <w:tr>
        <w:trPr/>
        <w:tc>
          <w:tcPr>
            <w:tcW w:w="5104" w:type="dxa"/>
            <w:gridSpan w:val="2"/>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Activité principale ou objet social :</w:t>
            </w:r>
          </w:p>
          <w:p>
            <w:pPr>
              <w:pStyle w:val="Standard1"/>
              <w:rPr>
                <w:b/>
                <w:bCs/>
                <w:sz w:val="24"/>
                <w:szCs w:val="24"/>
              </w:rPr>
            </w:pPr>
            <w:r>
              <w:rPr>
                <w:b/>
                <w:bCs/>
                <w:sz w:val="24"/>
                <w:szCs w:val="24"/>
              </w:rPr>
            </w:r>
          </w:p>
        </w:tc>
        <w:tc>
          <w:tcPr>
            <w:tcW w:w="4374" w:type="dxa"/>
            <w:gridSpan w:val="3"/>
            <w:tcBorders>
              <w:top w:val="single" w:sz="4" w:space="0" w:color="000000"/>
              <w:left w:val="single" w:sz="4" w:space="0" w:color="000000"/>
              <w:bottom w:val="single" w:sz="4" w:space="0" w:color="000000"/>
              <w:right w:val="single" w:sz="4" w:space="0" w:color="000000"/>
            </w:tcBorders>
          </w:tcPr>
          <w:p>
            <w:pPr>
              <w:pStyle w:val="Standard1"/>
              <w:snapToGrid w:val="false"/>
              <w:rPr>
                <w:b/>
                <w:bCs/>
              </w:rPr>
            </w:pPr>
            <w:r>
              <w:rPr>
                <w:b/>
                <w:bCs/>
              </w:rPr>
            </w:r>
          </w:p>
        </w:tc>
        <w:tc>
          <w:tcPr>
            <w:tcW w:w="20" w:type="dxa"/>
            <w:tcBorders/>
            <w:tcMar>
              <w:left w:w="10" w:type="dxa"/>
              <w:right w:w="10" w:type="dxa"/>
            </w:tcMar>
          </w:tcPr>
          <w:p>
            <w:pPr>
              <w:pStyle w:val="Normal"/>
              <w:rPr/>
            </w:pPr>
            <w:r>
              <w:rPr/>
            </w:r>
          </w:p>
        </w:tc>
      </w:tr>
      <w:tr>
        <w:trPr/>
        <w:tc>
          <w:tcPr>
            <w:tcW w:w="5104" w:type="dxa"/>
            <w:gridSpan w:val="2"/>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 xml:space="preserve">Nature de l’accompagnement : </w:t>
            </w:r>
            <w:r>
              <w:rPr>
                <w:sz w:val="24"/>
                <w:szCs w:val="24"/>
              </w:rPr>
              <w:t>détaillez les actions proposées, les partenariats avec d’autres structures et l’origine du public</w:t>
            </w:r>
          </w:p>
          <w:p>
            <w:pPr>
              <w:pStyle w:val="Standard1"/>
              <w:rPr>
                <w:b/>
                <w:bCs/>
                <w:sz w:val="24"/>
                <w:szCs w:val="24"/>
              </w:rPr>
            </w:pPr>
            <w:r>
              <w:rPr>
                <w:b/>
                <w:bCs/>
                <w:sz w:val="24"/>
                <w:szCs w:val="24"/>
              </w:rPr>
            </w:r>
          </w:p>
        </w:tc>
        <w:tc>
          <w:tcPr>
            <w:tcW w:w="4374" w:type="dxa"/>
            <w:gridSpan w:val="3"/>
            <w:tcBorders>
              <w:top w:val="single" w:sz="4" w:space="0" w:color="000000"/>
              <w:left w:val="single" w:sz="4" w:space="0" w:color="000000"/>
              <w:bottom w:val="single" w:sz="4" w:space="0" w:color="000000"/>
              <w:right w:val="single" w:sz="4" w:space="0" w:color="000000"/>
            </w:tcBorders>
          </w:tcPr>
          <w:p>
            <w:pPr>
              <w:pStyle w:val="Standard1"/>
              <w:snapToGrid w:val="false"/>
              <w:rPr>
                <w:b/>
                <w:bCs/>
              </w:rPr>
            </w:pPr>
            <w:r>
              <w:rPr>
                <w:b/>
                <w:bCs/>
              </w:rPr>
            </w:r>
          </w:p>
        </w:tc>
        <w:tc>
          <w:tcPr>
            <w:tcW w:w="20" w:type="dxa"/>
            <w:tcBorders/>
            <w:tcMar>
              <w:left w:w="10" w:type="dxa"/>
              <w:right w:w="10" w:type="dxa"/>
            </w:tcMar>
          </w:tcPr>
          <w:p>
            <w:pPr>
              <w:pStyle w:val="Normal"/>
              <w:rPr/>
            </w:pPr>
            <w:r>
              <w:rPr/>
            </w:r>
          </w:p>
        </w:tc>
      </w:tr>
      <w:tr>
        <w:trPr/>
        <w:tc>
          <w:tcPr>
            <w:tcW w:w="5104" w:type="dxa"/>
            <w:gridSpan w:val="2"/>
            <w:tcBorders>
              <w:top w:val="single" w:sz="4" w:space="0" w:color="000000"/>
              <w:left w:val="single" w:sz="4" w:space="0" w:color="000000"/>
              <w:bottom w:val="single" w:sz="4" w:space="0" w:color="000000"/>
              <w:right w:val="single" w:sz="4" w:space="0" w:color="000000"/>
            </w:tcBorders>
          </w:tcPr>
          <w:p>
            <w:pPr>
              <w:pStyle w:val="Standard1"/>
              <w:rPr>
                <w:b/>
                <w:bCs/>
                <w:sz w:val="24"/>
                <w:szCs w:val="24"/>
              </w:rPr>
            </w:pPr>
            <w:r>
              <w:rPr>
                <w:b/>
                <w:bCs/>
                <w:sz w:val="24"/>
                <w:szCs w:val="24"/>
              </w:rPr>
              <w:t>Qualification des salariés de l’établissement</w:t>
            </w:r>
          </w:p>
          <w:p>
            <w:pPr>
              <w:pStyle w:val="Standard1"/>
              <w:rPr>
                <w:b/>
                <w:bCs/>
                <w:sz w:val="24"/>
                <w:szCs w:val="24"/>
              </w:rPr>
            </w:pPr>
            <w:r>
              <w:rPr>
                <w:b/>
                <w:bCs/>
                <w:sz w:val="24"/>
                <w:szCs w:val="24"/>
              </w:rPr>
            </w:r>
          </w:p>
        </w:tc>
        <w:tc>
          <w:tcPr>
            <w:tcW w:w="4374" w:type="dxa"/>
            <w:gridSpan w:val="3"/>
            <w:tcBorders>
              <w:top w:val="single" w:sz="4" w:space="0" w:color="000000"/>
              <w:left w:val="single" w:sz="4" w:space="0" w:color="000000"/>
              <w:bottom w:val="single" w:sz="4" w:space="0" w:color="000000"/>
              <w:right w:val="single" w:sz="4" w:space="0" w:color="000000"/>
            </w:tcBorders>
          </w:tcPr>
          <w:p>
            <w:pPr>
              <w:pStyle w:val="Standard1"/>
              <w:snapToGrid w:val="false"/>
              <w:rPr>
                <w:b/>
                <w:bCs/>
              </w:rPr>
            </w:pPr>
            <w:r>
              <w:rPr>
                <w:b/>
                <w:bCs/>
              </w:rPr>
            </w:r>
          </w:p>
        </w:tc>
        <w:tc>
          <w:tcPr>
            <w:tcW w:w="20" w:type="dxa"/>
            <w:tcBorders/>
            <w:tcMar>
              <w:left w:w="10" w:type="dxa"/>
              <w:right w:w="10" w:type="dxa"/>
            </w:tcMar>
          </w:tcPr>
          <w:p>
            <w:pPr>
              <w:pStyle w:val="Normal"/>
              <w:rPr/>
            </w:pPr>
            <w:r>
              <w:rPr/>
            </w:r>
          </w:p>
        </w:tc>
      </w:tr>
      <w:tr>
        <w:trPr>
          <w:trHeight w:val="2401" w:hRule="atLeast"/>
        </w:trPr>
        <w:tc>
          <w:tcPr>
            <w:tcW w:w="9478" w:type="dxa"/>
            <w:gridSpan w:val="5"/>
            <w:tcBorders>
              <w:top w:val="single" w:sz="4" w:space="0" w:color="000000"/>
              <w:left w:val="single" w:sz="4" w:space="0" w:color="000000"/>
              <w:bottom w:val="single" w:sz="4" w:space="0" w:color="000000"/>
              <w:right w:val="single" w:sz="4" w:space="0" w:color="000000"/>
            </w:tcBorders>
            <w:shd w:color="auto" w:fill="E6E6E6" w:val="clear"/>
          </w:tcPr>
          <w:p>
            <w:pPr>
              <w:pStyle w:val="Standard1"/>
              <w:snapToGrid w:val="false"/>
              <w:jc w:val="center"/>
              <w:rPr>
                <w:b/>
                <w:i/>
                <w:i/>
                <w:color w:val="0000FF"/>
              </w:rPr>
            </w:pPr>
            <w:r>
              <w:rPr>
                <w:b/>
                <w:i/>
                <w:color w:val="0000FF"/>
              </w:rPr>
            </w:r>
          </w:p>
          <w:p>
            <w:pPr>
              <w:pStyle w:val="Standard1"/>
              <w:jc w:val="center"/>
              <w:rPr>
                <w:b/>
                <w:i/>
                <w:i/>
                <w:color w:val="0000FF"/>
                <w:sz w:val="24"/>
                <w:szCs w:val="24"/>
              </w:rPr>
            </w:pPr>
            <w:r>
              <w:rPr>
                <w:b/>
                <w:i/>
                <w:color w:val="0000FF"/>
                <w:sz w:val="24"/>
                <w:szCs w:val="24"/>
              </w:rPr>
              <w:t>En cas de renouvellement d’habilitation, dressez un bilan de l’utilisation du solde de la taxe d’apprentissage N-1</w:t>
            </w:r>
          </w:p>
          <w:p>
            <w:pPr>
              <w:pStyle w:val="Standard1"/>
              <w:jc w:val="center"/>
              <w:rPr>
                <w:b/>
                <w:i/>
                <w:i/>
                <w:color w:val="0000FF"/>
              </w:rPr>
            </w:pPr>
            <w:r>
              <w:rPr>
                <w:bCs/>
                <w:lang w:eastAsia="fr-FR"/>
              </w:rPr>
              <w:t>Descriptif des actions menées, lieu, public visé, investissement ou achat</w:t>
            </w:r>
          </w:p>
          <w:p>
            <w:pPr>
              <w:pStyle w:val="Standard1"/>
              <w:rPr>
                <w:b/>
                <w:i/>
                <w:i/>
                <w:color w:val="0000FF"/>
              </w:rPr>
            </w:pPr>
            <w:r>
              <w:rPr>
                <w:b/>
                <w:i/>
                <w:color w:val="0000FF"/>
              </w:rPr>
            </w:r>
          </w:p>
          <w:p>
            <w:pPr>
              <w:pStyle w:val="Standard1"/>
              <w:rPr>
                <w:b/>
                <w:i/>
                <w:i/>
              </w:rPr>
            </w:pPr>
            <w:r>
              <w:rPr>
                <w:b/>
                <w:i/>
              </w:rPr>
            </w:r>
          </w:p>
        </w:tc>
        <w:tc>
          <w:tcPr>
            <w:tcW w:w="20" w:type="dxa"/>
            <w:tcBorders/>
            <w:tcMar>
              <w:left w:w="10" w:type="dxa"/>
              <w:right w:w="10" w:type="dxa"/>
            </w:tcMar>
          </w:tcPr>
          <w:p>
            <w:pPr>
              <w:pStyle w:val="Normal"/>
              <w:rPr/>
            </w:pPr>
            <w:r>
              <w:rPr/>
            </w:r>
          </w:p>
        </w:tc>
      </w:tr>
    </w:tbl>
    <w:p>
      <w:pPr>
        <w:pStyle w:val="Standard1"/>
        <w:rPr/>
      </w:pPr>
      <w:r>
        <w:rPr/>
      </w:r>
    </w:p>
    <w:p>
      <w:pPr>
        <w:pStyle w:val="Standard1"/>
        <w:tabs>
          <w:tab w:val="clear" w:pos="708"/>
          <w:tab w:val="left" w:pos="3686" w:leader="none"/>
        </w:tabs>
        <w:rPr/>
      </w:pPr>
      <w:r>
        <w:rPr>
          <w:b/>
          <w:bCs/>
        </w:rPr>
        <w:t>Fait à :</w:t>
        <w:tab/>
      </w:r>
      <w:r>
        <w:rPr/>
        <w:tab/>
        <w:t>Signature, nom prénom et qualité du signataire</w:t>
      </w:r>
    </w:p>
    <w:p>
      <w:pPr>
        <w:pStyle w:val="Standard1"/>
        <w:rPr/>
      </w:pPr>
      <w:r>
        <w:rPr/>
      </w:r>
    </w:p>
    <w:p>
      <w:pPr>
        <w:pStyle w:val="Standard1"/>
        <w:rPr>
          <w:b/>
          <w:bCs/>
        </w:rPr>
      </w:pPr>
      <w:r>
        <w:rPr>
          <w:b/>
          <w:bCs/>
        </w:rPr>
        <w:t>Date :</w:t>
      </w:r>
    </w:p>
    <w:p>
      <w:pPr>
        <w:pStyle w:val="Standard1"/>
        <w:rPr/>
      </w:pPr>
      <w:r>
        <w:rPr/>
      </w:r>
    </w:p>
    <w:p>
      <w:pPr>
        <w:pStyle w:val="Standard1"/>
        <w:rPr/>
      </w:pPr>
      <w:r>
        <w:rPr/>
      </w:r>
    </w:p>
    <w:p>
      <w:pPr>
        <w:pStyle w:val="Standard1"/>
        <w:rPr/>
      </w:pPr>
      <w:r>
        <w:rPr/>
      </w:r>
    </w:p>
    <w:p>
      <w:pPr>
        <w:pStyle w:val="Standard1"/>
        <w:rPr/>
      </w:pPr>
      <w:r>
        <w:rPr/>
      </w:r>
    </w:p>
    <w:p>
      <w:pPr>
        <w:pStyle w:val="Standard1"/>
        <w:rPr/>
      </w:pPr>
      <w:r>
        <w:rPr/>
      </w:r>
    </w:p>
    <w:p>
      <w:pPr>
        <w:pStyle w:val="Standard1"/>
        <w:pBdr>
          <w:top w:val="single" w:sz="2" w:space="1" w:color="000000"/>
          <w:left w:val="single" w:sz="2" w:space="1" w:color="000000"/>
          <w:bottom w:val="single" w:sz="2" w:space="1" w:color="000000"/>
          <w:right w:val="single" w:sz="2" w:space="1" w:color="000000"/>
        </w:pBdr>
        <w:jc w:val="center"/>
        <w:rPr>
          <w:b/>
          <w:bCs/>
          <w:sz w:val="24"/>
          <w:szCs w:val="24"/>
          <w:u w:val="single"/>
        </w:rPr>
      </w:pPr>
      <w:r>
        <w:rPr>
          <w:b/>
          <w:bCs/>
          <w:sz w:val="24"/>
          <w:szCs w:val="24"/>
          <w:u w:val="single"/>
        </w:rPr>
      </w:r>
    </w:p>
    <w:p>
      <w:pPr>
        <w:pStyle w:val="Standard1"/>
        <w:pBdr>
          <w:top w:val="single" w:sz="2" w:space="1" w:color="000000"/>
          <w:left w:val="single" w:sz="2" w:space="1" w:color="000000"/>
          <w:bottom w:val="single" w:sz="2" w:space="1" w:color="000000"/>
          <w:right w:val="single" w:sz="2" w:space="1" w:color="000000"/>
        </w:pBdr>
        <w:jc w:val="center"/>
        <w:rPr>
          <w:b/>
          <w:bCs/>
          <w:sz w:val="24"/>
          <w:szCs w:val="24"/>
        </w:rPr>
      </w:pPr>
      <w:r>
        <w:rPr>
          <w:b/>
          <w:bCs/>
          <w:sz w:val="24"/>
          <w:szCs w:val="24"/>
          <w:u w:val="single"/>
        </w:rPr>
        <w:t>ATTENTION</w:t>
      </w:r>
      <w:r>
        <w:rPr>
          <w:b/>
          <w:bCs/>
          <w:sz w:val="24"/>
          <w:szCs w:val="24"/>
        </w:rPr>
        <w:t xml:space="preserve"> :</w:t>
      </w:r>
    </w:p>
    <w:p>
      <w:pPr>
        <w:pStyle w:val="Standard1"/>
        <w:pBdr>
          <w:top w:val="single" w:sz="2" w:space="1" w:color="000000"/>
          <w:left w:val="single" w:sz="2" w:space="1" w:color="000000"/>
          <w:bottom w:val="single" w:sz="2" w:space="1" w:color="000000"/>
          <w:right w:val="single" w:sz="2" w:space="1" w:color="000000"/>
        </w:pBdr>
        <w:jc w:val="center"/>
        <w:rPr>
          <w:b/>
          <w:bCs/>
          <w:sz w:val="24"/>
          <w:szCs w:val="24"/>
        </w:rPr>
      </w:pPr>
      <w:r>
        <w:rPr>
          <w:b/>
          <w:bCs/>
          <w:sz w:val="24"/>
          <w:szCs w:val="24"/>
        </w:rPr>
      </w:r>
    </w:p>
    <w:p>
      <w:pPr>
        <w:pStyle w:val="Standard1"/>
        <w:pBdr>
          <w:top w:val="single" w:sz="2" w:space="1" w:color="000000"/>
          <w:left w:val="single" w:sz="2" w:space="1" w:color="000000"/>
          <w:bottom w:val="single" w:sz="2" w:space="1" w:color="000000"/>
          <w:right w:val="single" w:sz="2" w:space="1" w:color="000000"/>
        </w:pBdr>
        <w:jc w:val="center"/>
        <w:rPr/>
      </w:pPr>
      <w:r>
        <w:rPr/>
        <w:t>Le fait de figurer sur la liste ne crée pas un droit d’inscription automatique pour l’année suivante, les services de l’Etat référents vérifient chaque année si les établissements remplissent bien les conditions.</w:t>
      </w:r>
    </w:p>
    <w:p>
      <w:pPr>
        <w:pStyle w:val="Standard1"/>
        <w:pBdr>
          <w:top w:val="single" w:sz="2" w:space="1" w:color="000000"/>
          <w:left w:val="single" w:sz="2" w:space="1" w:color="000000"/>
          <w:bottom w:val="single" w:sz="2" w:space="1" w:color="000000"/>
          <w:right w:val="single" w:sz="2" w:space="1" w:color="000000"/>
        </w:pBdr>
        <w:jc w:val="center"/>
        <w:rPr/>
      </w:pPr>
      <w:r>
        <w:rPr/>
      </w:r>
    </w:p>
    <w:p>
      <w:pPr>
        <w:pStyle w:val="Standard1"/>
        <w:pBdr>
          <w:top w:val="single" w:sz="2" w:space="1" w:color="000000"/>
          <w:left w:val="single" w:sz="2" w:space="1" w:color="000000"/>
          <w:bottom w:val="single" w:sz="2" w:space="1" w:color="000000"/>
          <w:right w:val="single" w:sz="2" w:space="1" w:color="000000"/>
        </w:pBdr>
        <w:jc w:val="center"/>
        <w:rPr/>
      </w:pPr>
      <w:r>
        <w:rPr/>
        <w:t>Une fois votre demande instruite et acceptée, vous êtes invités à vérifier l'exactitude des données vous concernant sur l'arrêté publié sur le site internet de la préfecture de région :</w:t>
      </w:r>
    </w:p>
    <w:p>
      <w:pPr>
        <w:pStyle w:val="Standard1"/>
        <w:pBdr>
          <w:top w:val="single" w:sz="2" w:space="1" w:color="000000"/>
          <w:left w:val="single" w:sz="2" w:space="1" w:color="000000"/>
          <w:bottom w:val="single" w:sz="2" w:space="1" w:color="000000"/>
          <w:right w:val="single" w:sz="2" w:space="1" w:color="000000"/>
        </w:pBdr>
        <w:jc w:val="center"/>
        <w:rPr/>
      </w:pPr>
      <w:r>
        <w:rPr/>
      </w:r>
    </w:p>
    <w:p>
      <w:pPr>
        <w:pStyle w:val="Standard1"/>
        <w:pBdr>
          <w:top w:val="single" w:sz="2" w:space="1" w:color="000000"/>
          <w:left w:val="single" w:sz="2" w:space="1" w:color="000000"/>
          <w:bottom w:val="single" w:sz="2" w:space="1" w:color="000000"/>
          <w:right w:val="single" w:sz="2" w:space="1" w:color="000000"/>
        </w:pBdr>
        <w:jc w:val="center"/>
        <w:rPr/>
      </w:pPr>
      <w:r>
        <w:rPr>
          <w:rStyle w:val="InternetLink"/>
        </w:rPr>
        <w:t>http://prefectures-regions.gouv.fr/hauts-de-france/Documents-publications/Taxe-d-apprentissage/Taxe-d-apprentissage-dans-la-region-Hauts-de-France</w:t>
      </w:r>
    </w:p>
    <w:p>
      <w:pPr>
        <w:pStyle w:val="Standard1"/>
        <w:pBdr>
          <w:top w:val="single" w:sz="2" w:space="1" w:color="000000"/>
          <w:left w:val="single" w:sz="2" w:space="1" w:color="000000"/>
          <w:bottom w:val="single" w:sz="2" w:space="1" w:color="000000"/>
          <w:right w:val="single" w:sz="2" w:space="1" w:color="000000"/>
        </w:pBdr>
        <w:jc w:val="center"/>
        <w:rPr>
          <w:rStyle w:val="InternetLink"/>
        </w:rPr>
      </w:pPr>
      <w:r>
        <w:rPr/>
      </w:r>
    </w:p>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964" w:right="964" w:gutter="0" w:header="720" w:top="1248" w:footer="868"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1"/>
    <w:family w:val="auto"/>
    <w:pitch w:val="default"/>
  </w:font>
  <w:font w:name="Calibri">
    <w:charset w:val="01"/>
    <w:family w:val="auto"/>
    <w:pitch w:val="default"/>
  </w:font>
  <w:font w:name="Wingdings">
    <w:charset w:val="01"/>
    <w:family w:val="auto"/>
    <w:pitch w:val="default"/>
  </w:font>
  <w:font w:name="OpenSymbol">
    <w:altName w:val="Arial Unicode MS"/>
    <w:charset w:val="01"/>
    <w:family w:val="auto"/>
    <w:pitch w:val="default"/>
  </w:font>
  <w:font w:name="Times New Roman">
    <w:charset w:val="01"/>
    <w:family w:val="auto"/>
    <w:pitch w:val="default"/>
  </w:font>
  <w:font w:name="Symbol">
    <w:charset w:val="01"/>
    <w:family w:val="auto"/>
    <w:pitch w:val="default"/>
  </w:font>
  <w:font w:name="Courier New">
    <w:charset w:val="01"/>
    <w:family w:val="auto"/>
    <w:pitch w:val="default"/>
  </w:font>
  <w:font w:name="Arial">
    <w:charset w:val="01"/>
    <w:family w:val="auto"/>
    <w:pitch w:val="default"/>
  </w:font>
  <w:font w:name="Tahoma">
    <w:charset w:val="01"/>
    <w:family w:val="auto"/>
    <w:pitch w:val="default"/>
  </w:font>
  <w:font w:name="Marianne">
    <w:charset w:val="01"/>
    <w:family w:val="auto"/>
    <w:pitch w:val="default"/>
  </w:font>
  <w:font w:name="Segoe UI Symbo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column">
            <wp:posOffset>7620</wp:posOffset>
          </wp:positionH>
          <wp:positionV relativeFrom="paragraph">
            <wp:posOffset>28575</wp:posOffset>
          </wp:positionV>
          <wp:extent cx="2054225" cy="149034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2054225" cy="149034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2">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3">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4">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5">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6">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7">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8">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9">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10">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11">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12">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13">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14">
    <w:lvl w:ilvl="0">
      <w:start w:val="1"/>
      <w:numFmt w:val="decimal"/>
      <w:lvlText w:val="%1."/>
      <w:lvlJc w:val="left"/>
      <w:pPr>
        <w:tabs>
          <w:tab w:val="num" w:pos="0"/>
        </w:tabs>
        <w:ind w:left="707" w:hanging="283"/>
      </w:pPr>
      <w:rPr/>
    </w:lvl>
    <w:lvl w:ilvl="1">
      <w:start w:val="1"/>
      <w:numFmt w:val="decimal"/>
      <w:lvlText w:val="%2."/>
      <w:lvlJc w:val="left"/>
      <w:pPr>
        <w:tabs>
          <w:tab w:val="num" w:pos="0"/>
        </w:tabs>
        <w:ind w:left="1414" w:hanging="283"/>
      </w:pPr>
      <w:rPr/>
    </w:lvl>
    <w:lvl w:ilvl="2">
      <w:start w:val="1"/>
      <w:numFmt w:val="decimal"/>
      <w:lvlText w:val="%3."/>
      <w:lvlJc w:val="left"/>
      <w:pPr>
        <w:tabs>
          <w:tab w:val="num" w:pos="0"/>
        </w:tabs>
        <w:ind w:left="2121" w:hanging="283"/>
      </w:pPr>
      <w:rPr/>
    </w:lvl>
    <w:lvl w:ilvl="3">
      <w:start w:val="1"/>
      <w:numFmt w:val="decimal"/>
      <w:lvlText w:val="%4."/>
      <w:lvlJc w:val="left"/>
      <w:pPr>
        <w:tabs>
          <w:tab w:val="num" w:pos="0"/>
        </w:tabs>
        <w:ind w:left="2828" w:hanging="283"/>
      </w:pPr>
      <w:rPr/>
    </w:lvl>
    <w:lvl w:ilvl="4">
      <w:start w:val="1"/>
      <w:numFmt w:val="decimal"/>
      <w:lvlText w:val="%5."/>
      <w:lvlJc w:val="left"/>
      <w:pPr>
        <w:tabs>
          <w:tab w:val="num" w:pos="0"/>
        </w:tabs>
        <w:ind w:left="3535" w:hanging="283"/>
      </w:pPr>
      <w:rPr/>
    </w:lvl>
    <w:lvl w:ilvl="5">
      <w:start w:val="1"/>
      <w:numFmt w:val="decimal"/>
      <w:lvlText w:val="%6."/>
      <w:lvlJc w:val="left"/>
      <w:pPr>
        <w:tabs>
          <w:tab w:val="num" w:pos="0"/>
        </w:tabs>
        <w:ind w:left="4242" w:hanging="283"/>
      </w:pPr>
      <w:rPr/>
    </w:lvl>
    <w:lvl w:ilvl="6">
      <w:start w:val="1"/>
      <w:numFmt w:val="decimal"/>
      <w:lvlText w:val="%7."/>
      <w:lvlJc w:val="left"/>
      <w:pPr>
        <w:tabs>
          <w:tab w:val="num" w:pos="0"/>
        </w:tabs>
        <w:ind w:left="4949" w:hanging="283"/>
      </w:pPr>
      <w:rPr/>
    </w:lvl>
    <w:lvl w:ilvl="7">
      <w:start w:val="1"/>
      <w:numFmt w:val="decimal"/>
      <w:lvlText w:val="%8."/>
      <w:lvlJc w:val="left"/>
      <w:pPr>
        <w:tabs>
          <w:tab w:val="num" w:pos="0"/>
        </w:tabs>
        <w:ind w:left="5656" w:hanging="283"/>
      </w:pPr>
      <w:rPr/>
    </w:lvl>
    <w:lvl w:ilvl="8">
      <w:start w:val="1"/>
      <w:numFmt w:val="decimal"/>
      <w:lvlText w:val="%9."/>
      <w:lvlJc w:val="left"/>
      <w:pPr>
        <w:tabs>
          <w:tab w:val="num" w:pos="0"/>
        </w:tabs>
        <w:ind w:left="6363" w:hanging="283"/>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
    <w:lvlOverride w:ilvl="0">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bering>
</file>

<file path=word/settings.xml><?xml version="1.0" encoding="utf-8"?>
<w:settings xmlns:w="http://schemas.openxmlformats.org/wordprocessingml/2006/main">
  <w:zoom w:percent="100"/>
  <w:defaultTabStop w:val="708"/>
  <w:autoHyphenation w:val="true"/>
  <w:hyphenationZone w:val="425"/>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Arial Unicode MS"/>
      <w:color w:val="auto"/>
      <w:kern w:val="2"/>
      <w:sz w:val="24"/>
      <w:szCs w:val="24"/>
      <w:lang w:val="fr-FR" w:eastAsia="zh-CN" w:bidi="hi-IN"/>
    </w:rPr>
  </w:style>
  <w:style w:type="paragraph" w:styleId="Heading1">
    <w:name w:val="Heading 1"/>
    <w:basedOn w:val="Standard"/>
    <w:next w:val="Standard1"/>
    <w:uiPriority w:val="9"/>
    <w:qFormat/>
    <w:pPr>
      <w:keepNext w:val="true"/>
      <w:widowControl w:val="false"/>
      <w:jc w:val="center"/>
      <w:outlineLvl w:val="0"/>
    </w:pPr>
    <w:rPr>
      <w:rFonts w:ascii="Calibri" w:hAnsi="Calibri" w:cs="Times New Roman"/>
    </w:rPr>
  </w:style>
  <w:style w:type="paragraph" w:styleId="Heading2">
    <w:name w:val="Heading 2"/>
    <w:basedOn w:val="Standard"/>
    <w:next w:val="Standard1"/>
    <w:uiPriority w:val="9"/>
    <w:unhideWhenUsed/>
    <w:qFormat/>
    <w:pPr>
      <w:keepNext w:val="true"/>
      <w:widowControl w:val="false"/>
      <w:jc w:val="center"/>
      <w:outlineLvl w:val="1"/>
    </w:pPr>
    <w:rPr>
      <w:b/>
      <w:sz w:val="22"/>
    </w:rPr>
  </w:style>
  <w:style w:type="paragraph" w:styleId="Heading3">
    <w:name w:val="Heading 3"/>
    <w:basedOn w:val="Standard"/>
    <w:next w:val="Standard1"/>
    <w:uiPriority w:val="9"/>
    <w:unhideWhenUsed/>
    <w:qFormat/>
    <w:pPr>
      <w:keepNext w:val="true"/>
      <w:widowControl w:val="false"/>
      <w:suppressAutoHyphens w:val="false"/>
      <w:outlineLvl w:val="2"/>
    </w:pPr>
    <w:rPr>
      <w:b/>
      <w:bCs/>
      <w:sz w:val="22"/>
    </w:rPr>
  </w:style>
  <w:style w:type="paragraph" w:styleId="Heading4">
    <w:name w:val="Heading 4"/>
    <w:basedOn w:val="Titre"/>
    <w:next w:val="Textbody1"/>
    <w:uiPriority w:val="9"/>
    <w:unhideWhenUsed/>
    <w:qFormat/>
    <w:pPr>
      <w:spacing w:before="120" w:after="120"/>
      <w:outlineLvl w:val="3"/>
    </w:pPr>
    <w:rPr>
      <w:rFonts w:eastAsia="NSimSun" w:cs="Arial Unicode MS"/>
      <w:b/>
      <w:bCs/>
      <w:sz w:val="24"/>
      <w:szCs w:val="2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eastAsia="Wingdings" w:cs="Wingdings"/>
    </w:rPr>
  </w:style>
  <w:style w:type="character" w:styleId="Absatz-Standardschriftart" w:customStyle="1">
    <w:name w:val="Absatz-Standardschriftart"/>
    <w:qFormat/>
    <w:rPr/>
  </w:style>
  <w:style w:type="character" w:styleId="WW8Num2z1" w:customStyle="1">
    <w:name w:val="WW8Num2z1"/>
    <w:qFormat/>
    <w:rPr>
      <w:rFonts w:ascii="OpenSymbol" w:hAnsi="OpenSymbol" w:eastAsia="OpenSymbol" w:cs="OpenSymbol"/>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Policepardfaut" w:customStyle="1">
    <w:name w:val="WW-Police par défaut"/>
    <w:qFormat/>
    <w:rPr/>
  </w:style>
  <w:style w:type="character" w:styleId="annotationreference">
    <w:name w:val="annotation reference"/>
    <w:basedOn w:val="WW-Policepardfaut"/>
    <w:qFormat/>
    <w:rPr>
      <w:sz w:val="16"/>
    </w:rPr>
  </w:style>
  <w:style w:type="character" w:styleId="Hyperlink" w:customStyle="1">
    <w:name w:val="Hyperlink"/>
    <w:basedOn w:val="WW-Policepardfaut"/>
    <w:qFormat/>
    <w:rPr>
      <w:color w:val="0000FF"/>
      <w:u w:val="single"/>
    </w:rPr>
  </w:style>
  <w:style w:type="character" w:styleId="Caractresdenumrotation" w:customStyle="1">
    <w:name w:val="Caractères de numérotation"/>
    <w:qFormat/>
    <w:rPr/>
  </w:style>
  <w:style w:type="character" w:styleId="Puces" w:customStyle="1">
    <w:name w:val="Puces"/>
    <w:qFormat/>
    <w:rPr>
      <w:rFonts w:ascii="OpenSymbol" w:hAnsi="OpenSymbol" w:eastAsia="OpenSymbol" w:cs="OpenSymbol"/>
    </w:rPr>
  </w:style>
  <w:style w:type="character" w:styleId="WW8Num3z0" w:customStyle="1">
    <w:name w:val="WW8Num3z0"/>
    <w:qFormat/>
    <w:rPr>
      <w:rFonts w:ascii="Times New Roman" w:hAnsi="Times New Roman" w:eastAsia="Times New Roman" w:cs="Times New Roman"/>
    </w:rPr>
  </w:style>
  <w:style w:type="character" w:styleId="WW8Num3z2" w:customStyle="1">
    <w:name w:val="WW8Num3z2"/>
    <w:qFormat/>
    <w:rPr>
      <w:rFonts w:ascii="Wingdings" w:hAnsi="Wingdings" w:eastAsia="Wingdings" w:cs="Wingdings"/>
    </w:rPr>
  </w:style>
  <w:style w:type="character" w:styleId="WW8Num3z3" w:customStyle="1">
    <w:name w:val="WW8Num3z3"/>
    <w:qFormat/>
    <w:rPr>
      <w:rFonts w:ascii="Symbol" w:hAnsi="Symbol" w:eastAsia="Symbol" w:cs="Symbol"/>
    </w:rPr>
  </w:style>
  <w:style w:type="character" w:styleId="WW8Num3z4" w:customStyle="1">
    <w:name w:val="WW8Num3z4"/>
    <w:qFormat/>
    <w:rPr>
      <w:rFonts w:ascii="Courier New" w:hAnsi="Courier New" w:eastAsia="Courier New" w:cs="Courier New"/>
    </w:rPr>
  </w:style>
  <w:style w:type="character" w:styleId="InternetLink" w:customStyle="1">
    <w:name w:val="Internet Link"/>
    <w:basedOn w:val="DefaultParagraphFont"/>
    <w:qFormat/>
    <w:rPr>
      <w:color w:val="0000FF"/>
      <w:u w:val="single"/>
    </w:rPr>
  </w:style>
  <w:style w:type="character" w:styleId="InternetLink1">
    <w:name w:val="Internet Link1"/>
    <w:basedOn w:val="DefaultParagraphFont"/>
    <w:uiPriority w:val="99"/>
    <w:unhideWhenUsed/>
    <w:qFormat/>
    <w:rsid w:val="00674f3f"/>
    <w:rPr>
      <w:color w:val="0000FF"/>
      <w:u w:val="single"/>
    </w:rPr>
  </w:style>
  <w:style w:type="character" w:styleId="UnresolvedMention">
    <w:name w:val="Unresolved Mention"/>
    <w:basedOn w:val="DefaultParagraphFont"/>
    <w:uiPriority w:val="99"/>
    <w:semiHidden/>
    <w:unhideWhenUsed/>
    <w:qFormat/>
    <w:rsid w:val="005842a9"/>
    <w:rPr>
      <w:color w:val="605E5C"/>
      <w:shd w:fill="E1DFDD" w:val="clear"/>
    </w:rPr>
  </w:style>
  <w:style w:type="paragraph" w:styleId="Titre" w:customStyle="1">
    <w:name w:val="Titre"/>
    <w:basedOn w:val="Standard"/>
    <w:next w:val="Textbody1"/>
    <w:qFormat/>
    <w:pPr>
      <w:keepNext w:val="true"/>
      <w:widowControl w:val="false"/>
      <w:spacing w:before="240" w:after="120"/>
    </w:pPr>
    <w:rPr>
      <w:rFont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Standard"/>
    <w:pPr>
      <w:widowControl w:val="false"/>
    </w:pPr>
    <w:rPr>
      <w:rFonts w:cs="Mangal"/>
    </w:rPr>
  </w:style>
  <w:style w:type="paragraph" w:styleId="Caption">
    <w:name w:val="Caption"/>
    <w:basedOn w:val="Standard1"/>
    <w:qFormat/>
    <w:pPr>
      <w:suppressLineNumbers/>
      <w:spacing w:before="120" w:after="120"/>
    </w:pPr>
    <w:rPr>
      <w:rFonts w:cs="Mangal"/>
      <w:i/>
      <w:iCs/>
      <w:sz w:val="24"/>
      <w:szCs w:val="24"/>
    </w:rPr>
  </w:style>
  <w:style w:type="paragraph" w:styleId="Index" w:customStyle="1">
    <w:name w:val="Index"/>
    <w:basedOn w:val="Standard"/>
    <w:qFormat/>
    <w:pPr>
      <w:widowControl w:val="false"/>
      <w:suppressLineNumbers/>
    </w:pPr>
    <w:rPr>
      <w:rFonts w:cs="Mangal"/>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Unicode MS"/>
      <w:color w:val="auto"/>
      <w:kern w:val="2"/>
      <w:sz w:val="24"/>
      <w:szCs w:val="24"/>
      <w:lang w:val="fr-FR" w:eastAsia="zh-CN" w:bidi="hi-IN"/>
    </w:rPr>
  </w:style>
  <w:style w:type="paragraph" w:styleId="Textbody" w:customStyle="1">
    <w:name w:val="Text body"/>
    <w:basedOn w:val="Standard"/>
    <w:qFormat/>
    <w:pPr>
      <w:spacing w:lineRule="auto" w:line="276" w:before="0" w:after="140"/>
    </w:pPr>
    <w:rPr/>
  </w:style>
  <w:style w:type="paragraph" w:styleId="Standard1" w:customStyle="1">
    <w:name w:val="Standard1"/>
    <w:qFormat/>
    <w:pPr>
      <w:widowControl/>
      <w:suppressAutoHyphens w:val="true"/>
      <w:bidi w:val="0"/>
      <w:spacing w:before="0" w:after="0"/>
      <w:jc w:val="left"/>
      <w:textAlignment w:val="baseline"/>
    </w:pPr>
    <w:rPr>
      <w:rFonts w:ascii="Arial" w:hAnsi="Arial" w:eastAsia="Times New Roman" w:cs="Arial"/>
      <w:color w:val="auto"/>
      <w:kern w:val="2"/>
      <w:sz w:val="20"/>
      <w:szCs w:val="20"/>
      <w:lang w:val="fr-FR" w:eastAsia="zh-CN" w:bidi="ar-SA"/>
    </w:rPr>
  </w:style>
  <w:style w:type="paragraph" w:styleId="Textbody1" w:customStyle="1">
    <w:name w:val="Text body1"/>
    <w:basedOn w:val="Standard1"/>
    <w:qFormat/>
    <w:pPr>
      <w:spacing w:before="0" w:after="120"/>
    </w:pPr>
    <w:rPr/>
  </w:style>
  <w:style w:type="paragraph" w:styleId="AnnotationText">
    <w:name w:val="Annotation Text"/>
    <w:basedOn w:val="Standard1"/>
    <w:pPr/>
    <w:rPr/>
  </w:style>
  <w:style w:type="paragraph" w:styleId="BalloonText">
    <w:name w:val="Balloon Text"/>
    <w:basedOn w:val="Standard1"/>
    <w:qFormat/>
    <w:pPr/>
    <w:rPr>
      <w:rFonts w:ascii="Tahoma" w:hAnsi="Tahoma" w:eastAsia="Tahoma" w:cs="Tahoma"/>
      <w:sz w:val="16"/>
      <w:szCs w:val="16"/>
    </w:rPr>
  </w:style>
  <w:style w:type="paragraph" w:styleId="Contenudetableau" w:customStyle="1">
    <w:name w:val="Contenu de tableau"/>
    <w:basedOn w:val="Standard1"/>
    <w:qFormat/>
    <w:pPr>
      <w:suppressLineNumbers/>
    </w:pPr>
    <w:rPr/>
  </w:style>
  <w:style w:type="paragraph" w:styleId="Titredetableau" w:customStyle="1">
    <w:name w:val="Titre de tableau"/>
    <w:basedOn w:val="Contenudetableau"/>
    <w:qFormat/>
    <w:pPr>
      <w:jc w:val="center"/>
    </w:pPr>
    <w:rPr>
      <w:b/>
      <w:bCs/>
    </w:rPr>
  </w:style>
  <w:style w:type="paragraph" w:styleId="HeaderandFooter" w:customStyle="1">
    <w:name w:val="Header and Footer"/>
    <w:basedOn w:val="Standard"/>
    <w:qFormat/>
    <w:pPr>
      <w:suppressLineNumbers/>
      <w:tabs>
        <w:tab w:val="clear" w:pos="708"/>
        <w:tab w:val="center" w:pos="4819" w:leader="none"/>
        <w:tab w:val="right" w:pos="9638" w:leader="none"/>
      </w:tabs>
    </w:pPr>
    <w:rPr/>
  </w:style>
  <w:style w:type="paragraph" w:styleId="Header">
    <w:name w:val="Header"/>
    <w:basedOn w:val="Standard1"/>
    <w:pPr>
      <w:suppressLineNumbers/>
      <w:tabs>
        <w:tab w:val="clear" w:pos="708"/>
        <w:tab w:val="center" w:pos="4536" w:leader="none"/>
        <w:tab w:val="right" w:pos="9072" w:leader="none"/>
      </w:tabs>
    </w:pPr>
    <w:rPr/>
  </w:style>
  <w:style w:type="paragraph" w:styleId="Footer">
    <w:name w:val="Footer"/>
    <w:basedOn w:val="Standard1"/>
    <w:pPr>
      <w:suppressLineNumbers/>
      <w:tabs>
        <w:tab w:val="clear" w:pos="708"/>
        <w:tab w:val="center" w:pos="4536" w:leader="none"/>
        <w:tab w:val="right" w:pos="9072" w:leader="none"/>
      </w:tabs>
    </w:pPr>
    <w:rPr/>
  </w:style>
  <w:style w:type="paragraph" w:styleId="BodyText2">
    <w:name w:val="Body Text 2"/>
    <w:basedOn w:val="Standard1"/>
    <w:qFormat/>
    <w:pPr>
      <w:jc w:val="center"/>
    </w:pPr>
    <w:rPr>
      <w:b/>
      <w:sz w:val="22"/>
      <w:szCs w:val="24"/>
    </w:rPr>
  </w:style>
  <w:style w:type="paragraph" w:styleId="BodyText3">
    <w:name w:val="Body Text 3"/>
    <w:basedOn w:val="Standard1"/>
    <w:qFormat/>
    <w:pPr/>
    <w:rPr>
      <w:sz w:val="22"/>
    </w:rPr>
  </w:style>
  <w:style w:type="paragraph" w:styleId="NormalWeb">
    <w:name w:val="Normal (Web)"/>
    <w:basedOn w:val="Normal"/>
    <w:uiPriority w:val="99"/>
    <w:semiHidden/>
    <w:unhideWhenUsed/>
    <w:qFormat/>
    <w:rsid w:val="00674f3f"/>
    <w:pPr>
      <w:widowControl/>
      <w:suppressAutoHyphens w:val="false"/>
      <w:spacing w:beforeAutospacing="1" w:afterAutospacing="1"/>
      <w:textAlignment w:val="auto"/>
    </w:pPr>
    <w:rPr>
      <w:rFonts w:ascii="Times New Roman" w:hAnsi="Times New Roman" w:eastAsia="Times New Roman" w:cs="Times New Roman"/>
      <w:kern w:val="0"/>
      <w:lang w:eastAsia="fr-FR" w:bidi="ar-SA"/>
    </w:rPr>
  </w:style>
  <w:style w:type="numbering" w:styleId="Pasdeliste" w:default="1">
    <w:name w:val="Pas de liste"/>
    <w:uiPriority w:val="99"/>
    <w:semiHidden/>
    <w:unhideWhenUsed/>
    <w:qFormat/>
  </w:style>
  <w:style w:type="numbering" w:styleId="Aucuneliste1" w:customStyle="1">
    <w:name w:val="Aucune liste1"/>
    <w:qFormat/>
  </w:style>
  <w:style w:type="numbering" w:styleId="WW8Num1" w:customStyle="1">
    <w:name w:val="WW8Num1"/>
    <w:qFormat/>
  </w:style>
  <w:style w:type="numbering" w:styleId="WW8Num2" w:customStyle="1">
    <w:name w:val="WW8Num2"/>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egifrance.gouv.fr/affichCodeArticle.do?cidTexte=LEGITEXT000006072050&amp;idArticle=LEGIARTI000006904090&amp;dateTexte=&amp;categorieLien=cid" TargetMode="External"/><Relationship Id="rId3" Type="http://schemas.openxmlformats.org/officeDocument/2006/relationships/hyperlink" Target="https://legifrance.gouv.fr/affichCodeArticle.do?cidTexte=LEGITEXT000006072050&amp;idArticle=LEGIARTI000006904093&amp;dateTexte=&amp;categorieLien=cid" TargetMode="External"/><Relationship Id="rId4" Type="http://schemas.openxmlformats.org/officeDocument/2006/relationships/hyperlink" Target="https://legifrance.gouv.fr/affichCodeArticle.do?cidTexte=LEGITEXT000006071367&amp;idArticle=LEGIARTI000006586169&amp;dateTexte=&amp;categorieLien=cid" TargetMode="External"/><Relationship Id="rId5" Type="http://schemas.openxmlformats.org/officeDocument/2006/relationships/hyperlink" Target="https://www.legifrance.gouv.fr/affichCodeArticle.do?cidTexte=LEGITEXT000006071191&amp;idArticle=LEGIARTI000006525009&amp;dateTexte=&amp;categorieLien=cid" TargetMode="External"/><Relationship Id="rId6" Type="http://schemas.openxmlformats.org/officeDocument/2006/relationships/hyperlink" Target="https://www.legifrance.gouv.fr/affichCodeArticle.do?cidTexte=LEGITEXT000006071367&amp;idArticle=LEGIARTI000006586155&amp;dateTexte=&amp;categorieLien=cid" TargetMode="External"/><Relationship Id="rId7" Type="http://schemas.openxmlformats.org/officeDocument/2006/relationships/hyperlink" Target="https://www.legifrance.gouv.fr/affichCodeArticle.do?cidTexte=LEGITEXT000006071191&amp;idArticle=LEGIARTI000006525133&amp;dateTexte=&amp;categorieLien=cid" TargetMode="External"/><Relationship Id="rId8" Type="http://schemas.openxmlformats.org/officeDocument/2006/relationships/hyperlink" Target="https://www.legifrance.gouv.fr/affichCodeArticle.do?cidTexte=LEGITEXT000006071191&amp;idArticle=LEGIARTI000006525035&amp;dateTexte=&amp;categorieLien=cid" TargetMode="External"/><Relationship Id="rId9" Type="http://schemas.openxmlformats.org/officeDocument/2006/relationships/hyperlink" Target="https://legifrance.gouv.fr/affichCodeArticle.do?cidTexte=LEGITEXT000006071307&amp;idArticle=LEGIARTI000047920532&amp;dateTexte=&amp;categorieLien=cid"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AF6F2-039E-48B4-A130-6CC9490F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4</Pages>
  <Words>1270</Words>
  <Characters>7246</Characters>
  <CharactersWithSpaces>8544</CharactersWithSpaces>
  <Paragraphs>94</Paragraphs>
  <Company>Ministères Chargés des Affaires Sociales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2025-11-17T17:34:50Z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MSIP_Label_3094c1fb-3db8-4cce-b079-9b022302847f_ActionId">
    <vt:lpwstr>fdf45e0f-1d73-4d41-9f5c-66a308c8da51</vt:lpwstr>
  </property>
  <property fmtid="{D5CDD505-2E9C-101B-9397-08002B2CF9AE}" pid="5" name="MSIP_Label_3094c1fb-3db8-4cce-b079-9b022302847f_ContentBits">
    <vt:lpwstr>0</vt:lpwstr>
  </property>
  <property fmtid="{D5CDD505-2E9C-101B-9397-08002B2CF9AE}" pid="6" name="MSIP_Label_3094c1fb-3db8-4cce-b079-9b022302847f_Enabled">
    <vt:lpwstr>true</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etDate">
    <vt:lpwstr>2025-11-17T10:18:30Z</vt:lpwstr>
  </property>
  <property fmtid="{D5CDD505-2E9C-101B-9397-08002B2CF9AE}" pid="10" name="MSIP_Label_3094c1fb-3db8-4cce-b079-9b022302847f_SiteId">
    <vt:lpwstr>035e5292-5a25-4509-bb08-a555f7d31a8b</vt:lpwstr>
  </property>
  <property fmtid="{D5CDD505-2E9C-101B-9397-08002B2CF9AE}" pid="11" name="MSIP_Label_3094c1fb-3db8-4cce-b079-9b022302847f_Tag">
    <vt:lpwstr>10, 3, 0, 1</vt:lpwstr>
  </property>
  <property fmtid="{D5CDD505-2E9C-101B-9397-08002B2CF9AE}" pid="12" name="ScaleCrop">
    <vt:bool>0</vt:bool>
  </property>
  <property fmtid="{D5CDD505-2E9C-101B-9397-08002B2CF9AE}" pid="13" name="ShareDoc">
    <vt:bool>0</vt:bool>
  </property>
</Properties>
</file>